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C63F8" w14:textId="740A7D7F" w:rsidR="00D5547E" w:rsidRPr="009E51FC" w:rsidRDefault="008E035A" w:rsidP="008E035A">
      <w:pPr>
        <w:jc w:val="right"/>
      </w:pPr>
      <w:r>
        <w:rPr>
          <w:noProof/>
        </w:rPr>
        <w:drawing>
          <wp:inline distT="0" distB="0" distL="0" distR="0" wp14:anchorId="517D6C78" wp14:editId="2FF44F34">
            <wp:extent cx="843280" cy="1117600"/>
            <wp:effectExtent l="0" t="0" r="0" b="6350"/>
            <wp:docPr id="1" name="Picture 1" descr="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14:paraId="776D8482" w14:textId="77777777" w:rsidTr="00DE737D">
        <w:trPr>
          <w:trHeight w:val="538"/>
        </w:trPr>
        <w:tc>
          <w:tcPr>
            <w:tcW w:w="2438" w:type="dxa"/>
            <w:shd w:val="clear" w:color="auto" w:fill="auto"/>
          </w:tcPr>
          <w:p w14:paraId="6E33E46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7CD3B6C" w14:textId="3A3246DC" w:rsidR="00F445B1" w:rsidRPr="00F95BC9" w:rsidRDefault="00621899" w:rsidP="004A6D2F">
            <w:pPr>
              <w:rPr>
                <w:rStyle w:val="Firstpagetablebold"/>
              </w:rPr>
            </w:pPr>
            <w:r>
              <w:rPr>
                <w:rStyle w:val="Firstpagetablebold"/>
              </w:rPr>
              <w:t>Council</w:t>
            </w:r>
          </w:p>
        </w:tc>
      </w:tr>
      <w:tr w:rsidR="00CE544A" w:rsidRPr="00975B07" w14:paraId="30446DA2" w14:textId="77777777" w:rsidTr="005F7F7E">
        <w:tc>
          <w:tcPr>
            <w:tcW w:w="2438" w:type="dxa"/>
            <w:shd w:val="clear" w:color="auto" w:fill="auto"/>
          </w:tcPr>
          <w:p w14:paraId="3F816D1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34384A4" w14:textId="70CB0978" w:rsidR="00F445B1" w:rsidRPr="001356F1" w:rsidRDefault="00D80431" w:rsidP="0047730A">
            <w:pPr>
              <w:rPr>
                <w:b/>
              </w:rPr>
            </w:pPr>
            <w:r>
              <w:rPr>
                <w:rStyle w:val="Firstpagetablebold"/>
              </w:rPr>
              <w:t>30</w:t>
            </w:r>
            <w:r w:rsidR="003070EF">
              <w:rPr>
                <w:rStyle w:val="Firstpagetablebold"/>
              </w:rPr>
              <w:t xml:space="preserve"> March 2020</w:t>
            </w:r>
          </w:p>
        </w:tc>
      </w:tr>
      <w:tr w:rsidR="00CE544A" w:rsidRPr="00975B07" w14:paraId="1C66CBBE" w14:textId="77777777" w:rsidTr="005F7F7E">
        <w:tc>
          <w:tcPr>
            <w:tcW w:w="2438" w:type="dxa"/>
            <w:shd w:val="clear" w:color="auto" w:fill="auto"/>
          </w:tcPr>
          <w:p w14:paraId="4C2EA27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41B7511" w14:textId="77777777" w:rsidR="00F445B1" w:rsidRPr="001356F1" w:rsidRDefault="00A84422" w:rsidP="004A6D2F">
            <w:pPr>
              <w:rPr>
                <w:rStyle w:val="Firstpagetablebold"/>
              </w:rPr>
            </w:pPr>
            <w:r>
              <w:rPr>
                <w:rStyle w:val="Firstpagetablebold"/>
              </w:rPr>
              <w:t>Electoral Registration Officer</w:t>
            </w:r>
          </w:p>
        </w:tc>
      </w:tr>
      <w:tr w:rsidR="00CE544A" w:rsidRPr="00975B07" w14:paraId="3074D4DF" w14:textId="77777777" w:rsidTr="005F7F7E">
        <w:tc>
          <w:tcPr>
            <w:tcW w:w="2438" w:type="dxa"/>
            <w:shd w:val="clear" w:color="auto" w:fill="auto"/>
          </w:tcPr>
          <w:p w14:paraId="2EA3053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F0B52D0" w14:textId="505B005E" w:rsidR="00F445B1" w:rsidRPr="001356F1" w:rsidRDefault="00CA36D5" w:rsidP="004A6D2F">
            <w:pPr>
              <w:rPr>
                <w:rStyle w:val="Firstpagetablebold"/>
              </w:rPr>
            </w:pPr>
            <w:r>
              <w:rPr>
                <w:rStyle w:val="Firstpagetablebold"/>
              </w:rPr>
              <w:t xml:space="preserve">Community Governance Review </w:t>
            </w:r>
            <w:r w:rsidR="002735A1">
              <w:rPr>
                <w:rStyle w:val="Firstpagetablebold"/>
              </w:rPr>
              <w:t>–</w:t>
            </w:r>
            <w:r>
              <w:rPr>
                <w:rStyle w:val="Firstpagetablebold"/>
              </w:rPr>
              <w:t xml:space="preserve"> Headington</w:t>
            </w:r>
            <w:r w:rsidR="002735A1">
              <w:rPr>
                <w:rStyle w:val="Firstpagetablebold"/>
              </w:rPr>
              <w:t xml:space="preserve"> area</w:t>
            </w:r>
          </w:p>
        </w:tc>
      </w:tr>
    </w:tbl>
    <w:p w14:paraId="0D174AA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1259F6A" w14:textId="77777777" w:rsidTr="0080749A">
        <w:tc>
          <w:tcPr>
            <w:tcW w:w="8845" w:type="dxa"/>
            <w:gridSpan w:val="3"/>
            <w:tcBorders>
              <w:bottom w:val="single" w:sz="8" w:space="0" w:color="000000"/>
            </w:tcBorders>
            <w:hideMark/>
          </w:tcPr>
          <w:p w14:paraId="5197A1C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D2CC494" w14:textId="77777777" w:rsidTr="0080749A">
        <w:tc>
          <w:tcPr>
            <w:tcW w:w="2438" w:type="dxa"/>
            <w:gridSpan w:val="2"/>
            <w:tcBorders>
              <w:top w:val="single" w:sz="8" w:space="0" w:color="000000"/>
              <w:left w:val="single" w:sz="8" w:space="0" w:color="000000"/>
              <w:bottom w:val="nil"/>
              <w:right w:val="nil"/>
            </w:tcBorders>
            <w:hideMark/>
          </w:tcPr>
          <w:p w14:paraId="5B617CB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5FAAF88" w14:textId="7121A904" w:rsidR="00D5547E" w:rsidRPr="001356F1" w:rsidRDefault="00A84422" w:rsidP="002950E2">
            <w:r>
              <w:t xml:space="preserve">To </w:t>
            </w:r>
            <w:r w:rsidR="00551B58">
              <w:t>brief</w:t>
            </w:r>
            <w:r w:rsidR="00E25553">
              <w:t xml:space="preserve"> </w:t>
            </w:r>
            <w:r w:rsidR="00551B58">
              <w:t>Council</w:t>
            </w:r>
            <w:r w:rsidR="00E25553">
              <w:t xml:space="preserve"> on </w:t>
            </w:r>
            <w:r w:rsidR="00CA36D5">
              <w:t>the r</w:t>
            </w:r>
            <w:r w:rsidR="002950E2">
              <w:t>esults of the consultation process on the proposal</w:t>
            </w:r>
            <w:r w:rsidR="00CA36D5">
              <w:t xml:space="preserve"> to create a </w:t>
            </w:r>
            <w:r w:rsidR="000D2ED6">
              <w:t>community</w:t>
            </w:r>
            <w:r w:rsidR="00CA36D5">
              <w:t xml:space="preserve"> council in the area covered by the 2017 </w:t>
            </w:r>
            <w:r w:rsidR="002E2261">
              <w:t xml:space="preserve">Headington </w:t>
            </w:r>
            <w:r w:rsidR="00CA36D5">
              <w:t>neighbourhood plan referendum.</w:t>
            </w:r>
          </w:p>
        </w:tc>
      </w:tr>
      <w:tr w:rsidR="00D5547E" w14:paraId="51A710AC" w14:textId="77777777" w:rsidTr="0080749A">
        <w:tc>
          <w:tcPr>
            <w:tcW w:w="2438" w:type="dxa"/>
            <w:gridSpan w:val="2"/>
            <w:tcBorders>
              <w:top w:val="nil"/>
              <w:left w:val="single" w:sz="8" w:space="0" w:color="000000"/>
              <w:bottom w:val="nil"/>
              <w:right w:val="nil"/>
            </w:tcBorders>
            <w:hideMark/>
          </w:tcPr>
          <w:p w14:paraId="797E493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CCCA371" w14:textId="567A9002" w:rsidR="00D5547E" w:rsidRPr="001356F1" w:rsidRDefault="008A6835" w:rsidP="00A84422">
            <w:r>
              <w:t>N/A</w:t>
            </w:r>
          </w:p>
        </w:tc>
      </w:tr>
      <w:tr w:rsidR="00D5547E" w14:paraId="5052F25D" w14:textId="77777777" w:rsidTr="0080749A">
        <w:tc>
          <w:tcPr>
            <w:tcW w:w="2438" w:type="dxa"/>
            <w:gridSpan w:val="2"/>
            <w:tcBorders>
              <w:top w:val="nil"/>
              <w:left w:val="single" w:sz="8" w:space="0" w:color="000000"/>
              <w:bottom w:val="nil"/>
              <w:right w:val="nil"/>
            </w:tcBorders>
            <w:hideMark/>
          </w:tcPr>
          <w:p w14:paraId="1137829C"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199A5245" w14:textId="1E70A7CA" w:rsidR="00D5547E" w:rsidRPr="001356F1" w:rsidRDefault="008D1741" w:rsidP="008D1741">
            <w:r>
              <w:t xml:space="preserve">Councillor Susan Brown, Leader of the Council </w:t>
            </w:r>
          </w:p>
        </w:tc>
      </w:tr>
      <w:tr w:rsidR="0080749A" w14:paraId="710DAB03" w14:textId="77777777" w:rsidTr="0080749A">
        <w:tc>
          <w:tcPr>
            <w:tcW w:w="2438" w:type="dxa"/>
            <w:gridSpan w:val="2"/>
            <w:tcBorders>
              <w:top w:val="nil"/>
              <w:left w:val="single" w:sz="8" w:space="0" w:color="000000"/>
              <w:bottom w:val="nil"/>
              <w:right w:val="nil"/>
            </w:tcBorders>
          </w:tcPr>
          <w:p w14:paraId="1928B6B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9F5AD7F" w14:textId="0C8D5B0E" w:rsidR="0080749A" w:rsidRPr="001356F1" w:rsidRDefault="008A6835" w:rsidP="005F7F7E">
            <w:r>
              <w:t>N/A</w:t>
            </w:r>
          </w:p>
        </w:tc>
      </w:tr>
      <w:tr w:rsidR="00D5547E" w14:paraId="5B17572A" w14:textId="77777777" w:rsidTr="0080749A">
        <w:tc>
          <w:tcPr>
            <w:tcW w:w="2438" w:type="dxa"/>
            <w:gridSpan w:val="2"/>
            <w:tcBorders>
              <w:top w:val="nil"/>
              <w:left w:val="single" w:sz="8" w:space="0" w:color="000000"/>
              <w:bottom w:val="nil"/>
              <w:right w:val="nil"/>
            </w:tcBorders>
            <w:hideMark/>
          </w:tcPr>
          <w:p w14:paraId="3466960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E96D286" w14:textId="2014CFBB" w:rsidR="00D5547E" w:rsidRPr="001356F1" w:rsidRDefault="008A6835" w:rsidP="005F7F7E">
            <w:r>
              <w:t>N/A</w:t>
            </w:r>
          </w:p>
        </w:tc>
      </w:tr>
      <w:tr w:rsidR="005F7F7E" w:rsidRPr="00975B07" w14:paraId="72844B94" w14:textId="77777777" w:rsidTr="00A4348C">
        <w:trPr>
          <w:trHeight w:val="413"/>
        </w:trPr>
        <w:tc>
          <w:tcPr>
            <w:tcW w:w="8845" w:type="dxa"/>
            <w:gridSpan w:val="3"/>
            <w:tcBorders>
              <w:bottom w:val="single" w:sz="8" w:space="0" w:color="000000"/>
            </w:tcBorders>
          </w:tcPr>
          <w:p w14:paraId="2977C318" w14:textId="1DBB0E72" w:rsidR="005F7F7E" w:rsidRPr="00975B07" w:rsidRDefault="005F7F7E" w:rsidP="008E035A">
            <w:r>
              <w:rPr>
                <w:rStyle w:val="Firstpagetablebold"/>
              </w:rPr>
              <w:t>Recommendations:</w:t>
            </w:r>
            <w:r w:rsidR="008E035A">
              <w:rPr>
                <w:rStyle w:val="Firstpagetablebold"/>
              </w:rPr>
              <w:t xml:space="preserve"> </w:t>
            </w:r>
            <w:r>
              <w:rPr>
                <w:rStyle w:val="Firstpagetablebold"/>
              </w:rPr>
              <w:t xml:space="preserve">That </w:t>
            </w:r>
            <w:r w:rsidR="00621899">
              <w:rPr>
                <w:rStyle w:val="Firstpagetablebold"/>
              </w:rPr>
              <w:t>Council</w:t>
            </w:r>
            <w:r>
              <w:rPr>
                <w:rStyle w:val="Firstpagetablebold"/>
              </w:rPr>
              <w:t>:</w:t>
            </w:r>
          </w:p>
        </w:tc>
      </w:tr>
      <w:tr w:rsidR="0030208D" w:rsidRPr="00975B07" w14:paraId="1A26B8BE" w14:textId="77777777" w:rsidTr="00A4348C">
        <w:trPr>
          <w:trHeight w:val="283"/>
        </w:trPr>
        <w:tc>
          <w:tcPr>
            <w:tcW w:w="426" w:type="dxa"/>
            <w:tcBorders>
              <w:top w:val="single" w:sz="8" w:space="0" w:color="000000"/>
              <w:left w:val="single" w:sz="8" w:space="0" w:color="000000"/>
              <w:bottom w:val="single" w:sz="4" w:space="0" w:color="auto"/>
              <w:right w:val="nil"/>
            </w:tcBorders>
          </w:tcPr>
          <w:p w14:paraId="58546121" w14:textId="7D26CA85" w:rsidR="0030208D" w:rsidRPr="00975B07" w:rsidRDefault="0030208D" w:rsidP="004A6D2F"/>
        </w:tc>
        <w:tc>
          <w:tcPr>
            <w:tcW w:w="8419" w:type="dxa"/>
            <w:gridSpan w:val="2"/>
            <w:tcBorders>
              <w:top w:val="single" w:sz="8" w:space="0" w:color="000000"/>
              <w:left w:val="nil"/>
              <w:bottom w:val="single" w:sz="4" w:space="0" w:color="auto"/>
              <w:right w:val="single" w:sz="8" w:space="0" w:color="000000"/>
            </w:tcBorders>
            <w:shd w:val="clear" w:color="auto" w:fill="auto"/>
          </w:tcPr>
          <w:p w14:paraId="381F0C46" w14:textId="042FF4B5" w:rsidR="0030208D" w:rsidRPr="001356F1" w:rsidRDefault="002950E2" w:rsidP="002950E2">
            <w:r>
              <w:rPr>
                <w:rStyle w:val="Firstpagetablebold"/>
              </w:rPr>
              <w:t>Decides</w:t>
            </w:r>
            <w:r>
              <w:t>, following the results of the consultation undertaken</w:t>
            </w:r>
            <w:r w:rsidR="00DD5166">
              <w:t xml:space="preserve"> and taking into consideration </w:t>
            </w:r>
            <w:r w:rsidR="002D4237">
              <w:t xml:space="preserve">the </w:t>
            </w:r>
            <w:r w:rsidR="002D4237" w:rsidRPr="002D4237">
              <w:t>Local Government and Public</w:t>
            </w:r>
            <w:r w:rsidR="002D4237">
              <w:t xml:space="preserve"> Involvement in Health Act 2007, the Guidance and </w:t>
            </w:r>
            <w:r w:rsidR="00DD5166">
              <w:t xml:space="preserve">the recommendations from the </w:t>
            </w:r>
            <w:r w:rsidR="00DD5166" w:rsidRPr="00DD5166">
              <w:t>Community Governance Review Working Group</w:t>
            </w:r>
            <w:r>
              <w:t>, whether or not to create a community council for</w:t>
            </w:r>
            <w:r w:rsidR="00730092">
              <w:t xml:space="preserve"> the</w:t>
            </w:r>
            <w:r>
              <w:t xml:space="preserve"> Headington area</w:t>
            </w:r>
            <w:r w:rsidR="003C275B">
              <w:t>.</w:t>
            </w:r>
          </w:p>
        </w:tc>
      </w:tr>
    </w:tbl>
    <w:p w14:paraId="2375E028" w14:textId="77777777" w:rsidR="00FA6F9E" w:rsidRDefault="00FA6F9E"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14:paraId="039E82C1" w14:textId="77777777" w:rsidTr="003E57A4">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7C207111" w14:textId="6802E153" w:rsidR="00966D42" w:rsidRPr="00975B07" w:rsidRDefault="00966D42" w:rsidP="00263EA3">
            <w:pPr>
              <w:jc w:val="center"/>
            </w:pPr>
            <w:r w:rsidRPr="00745BF0">
              <w:rPr>
                <w:rStyle w:val="Firstpagetablebold"/>
              </w:rPr>
              <w:t>Appendi</w:t>
            </w:r>
            <w:r w:rsidR="00813996">
              <w:rPr>
                <w:rStyle w:val="Firstpagetablebold"/>
              </w:rPr>
              <w:t>ces</w:t>
            </w:r>
          </w:p>
        </w:tc>
      </w:tr>
      <w:tr w:rsidR="00730092" w:rsidRPr="00975B07" w14:paraId="514CCF26" w14:textId="77777777" w:rsidTr="00E432BF">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C41BA69" w14:textId="3EE83CD4" w:rsidR="00D80431" w:rsidRDefault="00730092" w:rsidP="003C4F83">
            <w:r w:rsidRPr="00975B07">
              <w:t>Appendix 1</w:t>
            </w:r>
            <w:r w:rsidR="00D80431">
              <w:t xml:space="preserve"> – The response</w:t>
            </w:r>
            <w:r>
              <w:t xml:space="preserve"> to the consultations by Headington Neighbourhood </w:t>
            </w:r>
            <w:r w:rsidR="00D80431">
              <w:tab/>
            </w:r>
            <w:r w:rsidR="00D80431">
              <w:tab/>
            </w:r>
            <w:bookmarkStart w:id="0" w:name="_GoBack"/>
            <w:bookmarkEnd w:id="0"/>
            <w:r>
              <w:t>Forum</w:t>
            </w:r>
          </w:p>
          <w:p w14:paraId="518B2EDA" w14:textId="5F83691E" w:rsidR="00730092" w:rsidRDefault="00D80431" w:rsidP="003C4F83">
            <w:r>
              <w:t xml:space="preserve">Appendix 2 – The response to the consultation by </w:t>
            </w:r>
            <w:r w:rsidR="00730092">
              <w:t>Headington Action.</w:t>
            </w:r>
          </w:p>
          <w:p w14:paraId="01E88BEE" w14:textId="6104219E" w:rsidR="00813996" w:rsidRPr="001356F1" w:rsidRDefault="00D80431" w:rsidP="003C4F83">
            <w:r>
              <w:t>Appendix 3</w:t>
            </w:r>
            <w:r w:rsidR="00813996">
              <w:t xml:space="preserve"> – the pamphlet circulated in the area</w:t>
            </w:r>
          </w:p>
        </w:tc>
      </w:tr>
    </w:tbl>
    <w:p w14:paraId="7DCF6F2C" w14:textId="77777777" w:rsidR="0040736F" w:rsidRPr="001356F1" w:rsidRDefault="00F66DCA" w:rsidP="004A6D2F">
      <w:pPr>
        <w:pStyle w:val="Heading1"/>
      </w:pPr>
      <w:r w:rsidRPr="001356F1">
        <w:t xml:space="preserve">Introduction </w:t>
      </w:r>
    </w:p>
    <w:p w14:paraId="2DB3E4E4" w14:textId="5A099DFC" w:rsidR="006230DC" w:rsidRDefault="002950E2" w:rsidP="008E035A">
      <w:pPr>
        <w:pStyle w:val="bParagraphtext"/>
      </w:pPr>
      <w:r>
        <w:t xml:space="preserve">In February 2019 (minute 93) Council approved the terms of reference for a community governance review in the Headington area. </w:t>
      </w:r>
    </w:p>
    <w:p w14:paraId="66D3F891" w14:textId="3EFA0EB3" w:rsidR="002950E2" w:rsidRDefault="002950E2" w:rsidP="008E035A">
      <w:pPr>
        <w:pStyle w:val="bParagraphtext"/>
      </w:pPr>
      <w:r>
        <w:t>The review had been triggered by a request from the Headington Neighbourhood Forum</w:t>
      </w:r>
      <w:r w:rsidR="00437262">
        <w:t xml:space="preserve"> (“The Forum”)</w:t>
      </w:r>
      <w:r w:rsidR="008272E4">
        <w:t>, following a successful neighbourhood planning referendum in 2017.</w:t>
      </w:r>
    </w:p>
    <w:p w14:paraId="2179AC90" w14:textId="77777777" w:rsidR="008E035A" w:rsidRDefault="008E035A" w:rsidP="008E035A">
      <w:pPr>
        <w:pStyle w:val="bParagraphtext"/>
        <w:numPr>
          <w:ilvl w:val="0"/>
          <w:numId w:val="0"/>
        </w:numPr>
        <w:ind w:left="360"/>
      </w:pPr>
    </w:p>
    <w:p w14:paraId="567D0242" w14:textId="07F73DE1" w:rsidR="002E2261" w:rsidRPr="008E035A" w:rsidRDefault="00050D54" w:rsidP="008E035A">
      <w:pPr>
        <w:pStyle w:val="Heading1"/>
      </w:pPr>
      <w:r w:rsidRPr="008E035A">
        <w:t>T</w:t>
      </w:r>
      <w:r w:rsidR="008272E4" w:rsidRPr="008E035A">
        <w:t>he consultation process</w:t>
      </w:r>
    </w:p>
    <w:p w14:paraId="19012C68" w14:textId="605140CA" w:rsidR="00753A0C" w:rsidRDefault="00D12037" w:rsidP="008E035A">
      <w:pPr>
        <w:pStyle w:val="bParagraphtext"/>
      </w:pPr>
      <w:r>
        <w:t>Under the Local Government and Public Involvement in Health Act 2007</w:t>
      </w:r>
      <w:r w:rsidR="004977DD">
        <w:t xml:space="preserve"> (“the Act”)</w:t>
      </w:r>
      <w:r>
        <w:t xml:space="preserve"> and subsequent guidance, p</w:t>
      </w:r>
      <w:r w:rsidR="00491412">
        <w:t>rincipal council</w:t>
      </w:r>
      <w:r w:rsidR="004C4E45">
        <w:t>s are</w:t>
      </w:r>
      <w:r w:rsidR="00491412">
        <w:t xml:space="preserve"> given a wide di</w:t>
      </w:r>
      <w:r w:rsidR="004C4E45">
        <w:t>scretion on how to carry out</w:t>
      </w:r>
      <w:r w:rsidR="00491412">
        <w:t xml:space="preserve"> review</w:t>
      </w:r>
      <w:r w:rsidR="004C4E45">
        <w:t>s</w:t>
      </w:r>
      <w:r w:rsidR="00491412">
        <w:t xml:space="preserve"> and</w:t>
      </w:r>
      <w:r w:rsidR="00044103">
        <w:t xml:space="preserve"> ultimately it is the Council’s decision</w:t>
      </w:r>
      <w:r w:rsidR="00491412">
        <w:t xml:space="preserve"> whether a parish </w:t>
      </w:r>
      <w:r w:rsidR="006D6853">
        <w:t xml:space="preserve">or community council </w:t>
      </w:r>
      <w:r w:rsidR="00491412">
        <w:t>is created or not.</w:t>
      </w:r>
      <w:r w:rsidR="00B0032B">
        <w:t xml:space="preserve"> The Council must consult widely and consider any </w:t>
      </w:r>
      <w:r w:rsidR="00C90280">
        <w:t>responses</w:t>
      </w:r>
      <w:r w:rsidR="00B0032B">
        <w:t xml:space="preserve"> in making its decision.</w:t>
      </w:r>
    </w:p>
    <w:p w14:paraId="759B9ED0" w14:textId="5D13A017" w:rsidR="0047730A" w:rsidRDefault="004977DD" w:rsidP="008E035A">
      <w:pPr>
        <w:pStyle w:val="bParagraphtext"/>
      </w:pPr>
      <w:r>
        <w:t>In accordance with S79 (3) of the Act t</w:t>
      </w:r>
      <w:r w:rsidR="0047730A">
        <w:t xml:space="preserve">he Council </w:t>
      </w:r>
      <w:r>
        <w:t xml:space="preserve">notified </w:t>
      </w:r>
      <w:r w:rsidR="0047730A">
        <w:t xml:space="preserve">Oxfordshire County Council </w:t>
      </w:r>
      <w:r>
        <w:t>that it was conducting a Community Governance Review and set out the terms of that review</w:t>
      </w:r>
      <w:r w:rsidR="0047730A">
        <w:t>.</w:t>
      </w:r>
    </w:p>
    <w:p w14:paraId="56270B1E" w14:textId="43FA54FF" w:rsidR="006D6853" w:rsidRDefault="008272E4" w:rsidP="008E035A">
      <w:pPr>
        <w:pStyle w:val="bParagraphtext"/>
      </w:pPr>
      <w:r>
        <w:t>A</w:t>
      </w:r>
      <w:r w:rsidR="00B0032B">
        <w:t xml:space="preserve"> pamphlet </w:t>
      </w:r>
      <w:r>
        <w:t xml:space="preserve">was </w:t>
      </w:r>
      <w:r w:rsidR="00B0032B">
        <w:t>sent to every household</w:t>
      </w:r>
      <w:r w:rsidR="00044103">
        <w:t xml:space="preserve"> in the affected area</w:t>
      </w:r>
      <w:r w:rsidR="00B0032B">
        <w:t>, explaining the proposals and what setting up a community council might mean, using the existing parish councils in Oxford as examples.</w:t>
      </w:r>
      <w:r>
        <w:t xml:space="preserve"> Businesses, o</w:t>
      </w:r>
      <w:r w:rsidR="00B0032B">
        <w:t xml:space="preserve">ther </w:t>
      </w:r>
      <w:r w:rsidR="000D2ED6">
        <w:t>groups and organisations in the</w:t>
      </w:r>
      <w:r>
        <w:t xml:space="preserve"> area were also</w:t>
      </w:r>
      <w:r w:rsidR="00B0032B">
        <w:t xml:space="preserve"> consulted</w:t>
      </w:r>
      <w:r w:rsidR="006D6853">
        <w:t>.</w:t>
      </w:r>
      <w:r w:rsidR="001D519F">
        <w:t xml:space="preserve">  6800 pamphlets were distributed. </w:t>
      </w:r>
      <w:r w:rsidR="00F63CCD">
        <w:t xml:space="preserve">The consultation process </w:t>
      </w:r>
      <w:r w:rsidR="00C5572A">
        <w:t>ran through July and August</w:t>
      </w:r>
      <w:r w:rsidR="0047730A">
        <w:t xml:space="preserve"> 2019</w:t>
      </w:r>
      <w:r w:rsidR="00F63CCD">
        <w:t>.</w:t>
      </w:r>
    </w:p>
    <w:p w14:paraId="1CEBDE3B" w14:textId="383A4CC5" w:rsidR="00B0032B" w:rsidRDefault="001D519F" w:rsidP="008E035A">
      <w:pPr>
        <w:pStyle w:val="bParagraphtext"/>
      </w:pPr>
      <w:r>
        <w:t xml:space="preserve">Officers set up a stall </w:t>
      </w:r>
      <w:r w:rsidR="006D6853">
        <w:t xml:space="preserve">and engaged with the public handing out copies of the pamphlet and signposting members of the public on the methods in which they could respond to the consultation </w:t>
      </w:r>
      <w:r>
        <w:t>at</w:t>
      </w:r>
      <w:r w:rsidR="006D6853">
        <w:t xml:space="preserve"> both</w:t>
      </w:r>
      <w:r>
        <w:t xml:space="preserve"> the </w:t>
      </w:r>
      <w:r w:rsidR="00730092">
        <w:t xml:space="preserve">Bury </w:t>
      </w:r>
      <w:proofErr w:type="spellStart"/>
      <w:r w:rsidR="00730092">
        <w:t>Knowle</w:t>
      </w:r>
      <w:proofErr w:type="spellEnd"/>
      <w:r w:rsidR="00730092">
        <w:t xml:space="preserve"> Fun Day </w:t>
      </w:r>
      <w:r>
        <w:t xml:space="preserve">on </w:t>
      </w:r>
      <w:r w:rsidR="00594029">
        <w:t xml:space="preserve">13 July 2019 </w:t>
      </w:r>
      <w:r>
        <w:t xml:space="preserve">and at the Headington Farmers’ Market on </w:t>
      </w:r>
      <w:r w:rsidR="00594029">
        <w:t xml:space="preserve">27 July 2019. </w:t>
      </w:r>
      <w:r w:rsidR="008272E4">
        <w:t xml:space="preserve">An officer </w:t>
      </w:r>
      <w:r w:rsidR="00CE0C75">
        <w:t xml:space="preserve">also </w:t>
      </w:r>
      <w:r w:rsidR="008272E4">
        <w:t>attended a public meeting</w:t>
      </w:r>
      <w:r>
        <w:t xml:space="preserve"> on the issue</w:t>
      </w:r>
      <w:r w:rsidR="008272E4">
        <w:t xml:space="preserve"> organised</w:t>
      </w:r>
      <w:r w:rsidR="00CE0C75">
        <w:t xml:space="preserve"> by the Forum</w:t>
      </w:r>
      <w:r w:rsidR="006D6853">
        <w:t xml:space="preserve"> to answer any questions and explain the consultation process.</w:t>
      </w:r>
    </w:p>
    <w:p w14:paraId="63FA9C13" w14:textId="51CEBF3F" w:rsidR="00CE0C75" w:rsidRDefault="00CE0C75" w:rsidP="008E035A">
      <w:pPr>
        <w:pStyle w:val="bParagraphtext"/>
      </w:pPr>
      <w:r>
        <w:t xml:space="preserve">The </w:t>
      </w:r>
      <w:r w:rsidR="00730092">
        <w:t xml:space="preserve">Neighbourhood </w:t>
      </w:r>
      <w:r>
        <w:t>Forum also distributed its own leaflet in the area.</w:t>
      </w:r>
    </w:p>
    <w:p w14:paraId="20F51945" w14:textId="31572AAC" w:rsidR="0049670C" w:rsidRDefault="0049670C" w:rsidP="00CE0C75">
      <w:pPr>
        <w:pStyle w:val="bParagraphtext"/>
      </w:pPr>
      <w:r>
        <w:t xml:space="preserve">The extent of the area under review is </w:t>
      </w:r>
      <w:r w:rsidR="001705FC">
        <w:t>shown</w:t>
      </w:r>
      <w:r w:rsidR="006D6853">
        <w:t xml:space="preserve"> by the black outline</w:t>
      </w:r>
      <w:r w:rsidR="001705FC">
        <w:t xml:space="preserve"> </w:t>
      </w:r>
      <w:r w:rsidR="006D6853">
        <w:t>o</w:t>
      </w:r>
      <w:r w:rsidR="001705FC">
        <w:t>n the map</w:t>
      </w:r>
      <w:r w:rsidR="008272E4">
        <w:t xml:space="preserve"> below</w:t>
      </w:r>
      <w:r>
        <w:t>:</w:t>
      </w:r>
      <w:r>
        <w:rPr>
          <w:noProof/>
        </w:rPr>
        <w:drawing>
          <wp:inline distT="0" distB="0" distL="0" distR="0" wp14:anchorId="7236ED3C" wp14:editId="711A8553">
            <wp:extent cx="5743575" cy="4029075"/>
            <wp:effectExtent l="0" t="0" r="9525" b="9525"/>
            <wp:docPr id="2" name="Picture 2" descr="Map of the area covered by the community governanc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User Profile\mjoh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4029075"/>
                    </a:xfrm>
                    <a:prstGeom prst="rect">
                      <a:avLst/>
                    </a:prstGeom>
                    <a:noFill/>
                    <a:ln>
                      <a:noFill/>
                    </a:ln>
                  </pic:spPr>
                </pic:pic>
              </a:graphicData>
            </a:graphic>
          </wp:inline>
        </w:drawing>
      </w:r>
    </w:p>
    <w:p w14:paraId="6BEC5B7F" w14:textId="77777777" w:rsidR="00050D54" w:rsidRDefault="00050D54" w:rsidP="008E035A">
      <w:pPr>
        <w:rPr>
          <w:b/>
        </w:rPr>
      </w:pPr>
    </w:p>
    <w:p w14:paraId="76B01EB4" w14:textId="5D96E848" w:rsidR="0052263C" w:rsidRDefault="00CE0C75" w:rsidP="008E035A">
      <w:pPr>
        <w:pStyle w:val="Heading1"/>
      </w:pPr>
      <w:r w:rsidRPr="008E286E">
        <w:t>What Council should consider</w:t>
      </w:r>
    </w:p>
    <w:p w14:paraId="69F8F87F" w14:textId="2582AD37" w:rsidR="00213946" w:rsidRDefault="006022F1" w:rsidP="008E035A">
      <w:pPr>
        <w:pStyle w:val="bParagraphtext"/>
      </w:pPr>
      <w:r>
        <w:t>The government’s guidance (</w:t>
      </w:r>
      <w:r w:rsidR="005334B6">
        <w:t>“</w:t>
      </w:r>
      <w:r>
        <w:t>Gu</w:t>
      </w:r>
      <w:r w:rsidR="005334B6">
        <w:t>idance on Community Governance R</w:t>
      </w:r>
      <w:r>
        <w:t>eviews</w:t>
      </w:r>
      <w:r w:rsidR="005334B6">
        <w:t>”</w:t>
      </w:r>
      <w:r>
        <w:t xml:space="preserve"> -  Department of Housing, Communities and Local Government) </w:t>
      </w:r>
      <w:r w:rsidR="00417AF6">
        <w:t xml:space="preserve">(“the Guidance”) </w:t>
      </w:r>
      <w:r>
        <w:t>says that i</w:t>
      </w:r>
      <w:r w:rsidR="00614ACD">
        <w:t xml:space="preserve">n deciding on a community governance review </w:t>
      </w:r>
      <w:r>
        <w:t>a council should</w:t>
      </w:r>
      <w:r w:rsidR="00614ACD">
        <w:t xml:space="preserve"> consider the following</w:t>
      </w:r>
      <w:r w:rsidR="0047730A">
        <w:t>:</w:t>
      </w:r>
    </w:p>
    <w:p w14:paraId="238EA9D8" w14:textId="53DE67F5" w:rsidR="00E95E5F" w:rsidRDefault="00E95E5F" w:rsidP="008E035A">
      <w:pPr>
        <w:pStyle w:val="Bulletpoints"/>
      </w:pPr>
      <w:r>
        <w:t>Local leadership</w:t>
      </w:r>
      <w:r w:rsidR="00F744A2">
        <w:t xml:space="preserve"> -  the role</w:t>
      </w:r>
      <w:r w:rsidR="00614ACD">
        <w:t xml:space="preserve"> </w:t>
      </w:r>
      <w:r w:rsidR="00F744A2">
        <w:t>community</w:t>
      </w:r>
      <w:r w:rsidR="00614ACD">
        <w:t xml:space="preserve"> council</w:t>
      </w:r>
      <w:r w:rsidR="00F744A2">
        <w:t>s</w:t>
      </w:r>
      <w:r w:rsidR="00614ACD">
        <w:t xml:space="preserve"> could have in the development of their communities;</w:t>
      </w:r>
    </w:p>
    <w:p w14:paraId="510E73B0" w14:textId="32664CD5" w:rsidR="00E95E5F" w:rsidRDefault="00E95E5F" w:rsidP="008E035A">
      <w:pPr>
        <w:pStyle w:val="Bulletpoints"/>
      </w:pPr>
      <w:r>
        <w:t>Place shaping</w:t>
      </w:r>
      <w:r w:rsidR="00614ACD">
        <w:t xml:space="preserve"> – “place” matters in considering a review and the Council should consider whether creating a new </w:t>
      </w:r>
      <w:r w:rsidR="00F744A2">
        <w:t>community council</w:t>
      </w:r>
      <w:r w:rsidR="00614ACD">
        <w:t xml:space="preserve"> would improve that;</w:t>
      </w:r>
    </w:p>
    <w:p w14:paraId="66F663DF" w14:textId="199E668A" w:rsidR="00E95E5F" w:rsidRDefault="00E95E5F" w:rsidP="008E035A">
      <w:pPr>
        <w:pStyle w:val="Bulletpoints"/>
      </w:pPr>
      <w:r>
        <w:t>Existing arrangements</w:t>
      </w:r>
      <w:r w:rsidR="00614ACD">
        <w:t xml:space="preserve"> – whether the existing arrangements of local government and service </w:t>
      </w:r>
      <w:r w:rsidR="00F744A2">
        <w:t xml:space="preserve">provision </w:t>
      </w:r>
      <w:r w:rsidR="00614ACD">
        <w:t>(including residents’ and tenants’ associations and other community groups) are sufficient;</w:t>
      </w:r>
    </w:p>
    <w:p w14:paraId="5850EBE7" w14:textId="3E18ADF9" w:rsidR="00E95E5F" w:rsidRDefault="00E95E5F" w:rsidP="008E035A">
      <w:pPr>
        <w:pStyle w:val="Bulletpoints"/>
      </w:pPr>
      <w:r>
        <w:t>Efficient and convenient delivery of local services</w:t>
      </w:r>
      <w:r w:rsidR="00614ACD">
        <w:t xml:space="preserve"> – whether a new </w:t>
      </w:r>
      <w:r w:rsidR="00F744A2">
        <w:t>community council</w:t>
      </w:r>
      <w:r w:rsidR="00614ACD">
        <w:t xml:space="preserve"> would improve the provision of services in the pro</w:t>
      </w:r>
      <w:r w:rsidR="00F744A2">
        <w:t>p</w:t>
      </w:r>
      <w:r w:rsidR="00614ACD">
        <w:t>o</w:t>
      </w:r>
      <w:r w:rsidR="00F744A2">
        <w:t>s</w:t>
      </w:r>
      <w:r w:rsidR="00614ACD">
        <w:t>ed area;</w:t>
      </w:r>
    </w:p>
    <w:p w14:paraId="36F4C0B1" w14:textId="0EC221E7" w:rsidR="00E95E5F" w:rsidRDefault="00E95E5F" w:rsidP="008E035A">
      <w:pPr>
        <w:pStyle w:val="Bulletpoints"/>
      </w:pPr>
      <w:r>
        <w:t>Community cohesion</w:t>
      </w:r>
      <w:r w:rsidR="00614ACD">
        <w:t xml:space="preserve"> – whether </w:t>
      </w:r>
      <w:r w:rsidR="002C425C">
        <w:t>the proposal would im</w:t>
      </w:r>
      <w:r w:rsidR="00614ACD">
        <w:t xml:space="preserve">prove community cohesion. If the Council feels it would damage </w:t>
      </w:r>
      <w:r w:rsidR="006022F1">
        <w:t>that it should not proceed;</w:t>
      </w:r>
    </w:p>
    <w:p w14:paraId="26D6415A" w14:textId="70E3D515" w:rsidR="00615A76" w:rsidRPr="00050D54" w:rsidRDefault="002C425C" w:rsidP="008E035A">
      <w:pPr>
        <w:pStyle w:val="Bulletpoints"/>
        <w:rPr>
          <w:b/>
        </w:rPr>
      </w:pPr>
      <w:r>
        <w:t xml:space="preserve">Consultation results </w:t>
      </w:r>
      <w:r w:rsidR="00F744A2">
        <w:t>–</w:t>
      </w:r>
      <w:r>
        <w:t xml:space="preserve"> </w:t>
      </w:r>
      <w:r w:rsidR="00F744A2">
        <w:t>the results will give an indication o</w:t>
      </w:r>
      <w:r w:rsidR="008E035A">
        <w:t>f the feelings of the community.</w:t>
      </w:r>
    </w:p>
    <w:p w14:paraId="54FDC344" w14:textId="7F3D44E2" w:rsidR="00CE0C75" w:rsidRDefault="00CE0C75" w:rsidP="008E035A">
      <w:pPr>
        <w:pStyle w:val="Heading1"/>
      </w:pPr>
      <w:r w:rsidRPr="008E286E">
        <w:t>The consultation results</w:t>
      </w:r>
    </w:p>
    <w:p w14:paraId="59842FC1" w14:textId="65E34A48" w:rsidR="0047730A" w:rsidRPr="005F5606" w:rsidRDefault="0047730A" w:rsidP="008E035A">
      <w:pPr>
        <w:pStyle w:val="bParagraphtext"/>
      </w:pPr>
      <w:r w:rsidRPr="005F5606">
        <w:t>The following question was asked in the consultation:</w:t>
      </w:r>
    </w:p>
    <w:p w14:paraId="6091EED4" w14:textId="0522020C" w:rsidR="0047730A" w:rsidRPr="008E035A" w:rsidRDefault="0047730A" w:rsidP="00EB447F">
      <w:pPr>
        <w:pStyle w:val="bParagraphtext"/>
        <w:numPr>
          <w:ilvl w:val="0"/>
          <w:numId w:val="0"/>
        </w:numPr>
        <w:ind w:left="360"/>
      </w:pPr>
      <w:r w:rsidRPr="005F5606">
        <w:t>“</w:t>
      </w:r>
      <w:r w:rsidRPr="00EB447F">
        <w:rPr>
          <w:i/>
        </w:rPr>
        <w:t>To what extent do you agree or disagree that a Community (Parish) Council should be created for the area shown on the map”</w:t>
      </w:r>
    </w:p>
    <w:p w14:paraId="0DA0105E" w14:textId="525628F4" w:rsidR="008E286E" w:rsidRDefault="00EB447F" w:rsidP="00EB447F">
      <w:pPr>
        <w:pStyle w:val="bParagraphtext"/>
        <w:numPr>
          <w:ilvl w:val="0"/>
          <w:numId w:val="0"/>
        </w:numPr>
        <w:ind w:left="360"/>
      </w:pPr>
      <w:r>
        <w:t>4</w:t>
      </w:r>
      <w:r w:rsidR="00C032D8">
        <w:t>18</w:t>
      </w:r>
      <w:r w:rsidR="008E286E">
        <w:t xml:space="preserve"> replies were received, either via the Council’s consultation portal or via </w:t>
      </w:r>
      <w:r w:rsidR="005334B6">
        <w:t xml:space="preserve">e-mail or </w:t>
      </w:r>
      <w:r w:rsidR="008E286E">
        <w:t xml:space="preserve">post. </w:t>
      </w:r>
    </w:p>
    <w:p w14:paraId="7DB20CD4" w14:textId="10822677" w:rsidR="0060659E" w:rsidRPr="008E035A" w:rsidRDefault="0060659E" w:rsidP="008E035A">
      <w:pPr>
        <w:pStyle w:val="bParagraphtext"/>
      </w:pPr>
      <w:r>
        <w:t xml:space="preserve">The Council’s Consultation Officer has </w:t>
      </w:r>
      <w:r w:rsidRPr="00AB5CFA">
        <w:rPr>
          <w:bCs/>
        </w:rPr>
        <w:t>said</w:t>
      </w:r>
      <w:r w:rsidRPr="00AB5CFA">
        <w:rPr>
          <w:bCs/>
          <w:i/>
        </w:rPr>
        <w:t xml:space="preserve">: </w:t>
      </w:r>
      <w:r w:rsidR="00AB5CFA">
        <w:rPr>
          <w:bCs/>
          <w:i/>
        </w:rPr>
        <w:t>“</w:t>
      </w:r>
      <w:r w:rsidRPr="00AB5CFA">
        <w:rPr>
          <w:bCs/>
          <w:i/>
        </w:rPr>
        <w:t>that the response rate of 404 residents is a good sample size and provides us with a robust snapshot of the views of residents in Headington.  The consultation was conducted via a postal letter drop with the option of completing the survey online, there were 182 responses completed in paper format and 217 responses completed online.  With a huge shift towards most city council consultations being completed online, to achieve a return rate of 187 paper responses is a sound achievement and indicates the strength of feeling of Headington resident towards this project.</w:t>
      </w:r>
      <w:r w:rsidR="00AB5CFA">
        <w:rPr>
          <w:bCs/>
          <w:i/>
        </w:rPr>
        <w:t>”</w:t>
      </w:r>
    </w:p>
    <w:p w14:paraId="1C81E2F9" w14:textId="433AB288" w:rsidR="006E6388" w:rsidRDefault="000C42E5" w:rsidP="00EB447F">
      <w:pPr>
        <w:pStyle w:val="bParagraphtext"/>
      </w:pPr>
      <w:r>
        <w:t xml:space="preserve">More than 300 </w:t>
      </w:r>
      <w:r w:rsidR="006E6388">
        <w:t>respondents</w:t>
      </w:r>
      <w:r w:rsidR="00615A76">
        <w:t xml:space="preserve"> made additional comments. These are included in the background papers. </w:t>
      </w:r>
      <w:r w:rsidR="006E6388">
        <w:t>The results of the consultation are shown below.</w:t>
      </w:r>
    </w:p>
    <w:p w14:paraId="50E0BA9C" w14:textId="76B02E67" w:rsidR="006E6388" w:rsidRDefault="00C14937" w:rsidP="008E035A">
      <w:pPr>
        <w:pStyle w:val="bParagraphtext"/>
        <w:numPr>
          <w:ilvl w:val="0"/>
          <w:numId w:val="0"/>
        </w:numPr>
        <w:ind w:left="360"/>
      </w:pPr>
      <w:r>
        <w:t xml:space="preserve">Who </w:t>
      </w:r>
      <w:proofErr w:type="gramStart"/>
      <w:r>
        <w:t>respo</w:t>
      </w:r>
      <w:r w:rsidR="006E6388">
        <w:t>nded</w:t>
      </w:r>
      <w:r w:rsidR="0052263C">
        <w:t>:</w:t>
      </w:r>
      <w:proofErr w:type="gramEnd"/>
    </w:p>
    <w:tbl>
      <w:tblPr>
        <w:tblStyle w:val="TableGrid"/>
        <w:tblW w:w="0" w:type="auto"/>
        <w:tblInd w:w="534" w:type="dxa"/>
        <w:tblLook w:val="04A0" w:firstRow="1" w:lastRow="0" w:firstColumn="1" w:lastColumn="0" w:noHBand="0" w:noVBand="1"/>
      </w:tblPr>
      <w:tblGrid>
        <w:gridCol w:w="5386"/>
        <w:gridCol w:w="1391"/>
        <w:gridCol w:w="1444"/>
      </w:tblGrid>
      <w:tr w:rsidR="00236BFF" w14:paraId="0A222099" w14:textId="1B4295EB" w:rsidTr="00EB447F">
        <w:tc>
          <w:tcPr>
            <w:tcW w:w="5386" w:type="dxa"/>
            <w:shd w:val="clear" w:color="auto" w:fill="BFBFBF" w:themeFill="background1" w:themeFillShade="BF"/>
          </w:tcPr>
          <w:p w14:paraId="53245BA4" w14:textId="0AFF3A82" w:rsidR="00236BFF" w:rsidRDefault="00945571" w:rsidP="00EB447F">
            <w:pPr>
              <w:spacing w:after="60"/>
            </w:pPr>
            <w:r>
              <w:t>Do you…</w:t>
            </w:r>
          </w:p>
        </w:tc>
        <w:tc>
          <w:tcPr>
            <w:tcW w:w="1391" w:type="dxa"/>
            <w:shd w:val="clear" w:color="auto" w:fill="BFBFBF" w:themeFill="background1" w:themeFillShade="BF"/>
          </w:tcPr>
          <w:p w14:paraId="34DC7FDD" w14:textId="7FC3A5CC" w:rsidR="00236BFF" w:rsidRDefault="00236BFF" w:rsidP="00EB447F">
            <w:pPr>
              <w:spacing w:after="60"/>
            </w:pPr>
            <w:r>
              <w:t>Number</w:t>
            </w:r>
          </w:p>
        </w:tc>
        <w:tc>
          <w:tcPr>
            <w:tcW w:w="1444" w:type="dxa"/>
            <w:shd w:val="clear" w:color="auto" w:fill="BFBFBF" w:themeFill="background1" w:themeFillShade="BF"/>
          </w:tcPr>
          <w:p w14:paraId="647E1F54" w14:textId="3801A13E" w:rsidR="00236BFF" w:rsidRDefault="00236BFF" w:rsidP="00EB447F">
            <w:pPr>
              <w:spacing w:after="60"/>
            </w:pPr>
            <w:r>
              <w:t>Percentage</w:t>
            </w:r>
          </w:p>
        </w:tc>
      </w:tr>
      <w:tr w:rsidR="00236BFF" w14:paraId="7A2BA206" w14:textId="5584B3E1" w:rsidTr="00EB447F">
        <w:tc>
          <w:tcPr>
            <w:tcW w:w="5386" w:type="dxa"/>
          </w:tcPr>
          <w:p w14:paraId="5A4942DB" w14:textId="0FBC79B9" w:rsidR="00236BFF" w:rsidRDefault="00236BFF" w:rsidP="00EB447F">
            <w:pPr>
              <w:spacing w:after="60"/>
            </w:pPr>
            <w:r>
              <w:t>Live in Headington</w:t>
            </w:r>
          </w:p>
        </w:tc>
        <w:tc>
          <w:tcPr>
            <w:tcW w:w="1391" w:type="dxa"/>
          </w:tcPr>
          <w:p w14:paraId="4796AB04" w14:textId="5D450A40" w:rsidR="00236BFF" w:rsidRDefault="00236BFF" w:rsidP="00EB447F">
            <w:pPr>
              <w:spacing w:after="60"/>
            </w:pPr>
            <w:r>
              <w:t>357</w:t>
            </w:r>
          </w:p>
        </w:tc>
        <w:tc>
          <w:tcPr>
            <w:tcW w:w="1444" w:type="dxa"/>
          </w:tcPr>
          <w:p w14:paraId="5EF59AD3" w14:textId="63705A40" w:rsidR="00236BFF" w:rsidRDefault="0060659E" w:rsidP="00EB447F">
            <w:pPr>
              <w:spacing w:after="60"/>
            </w:pPr>
            <w:r>
              <w:t>85.4%</w:t>
            </w:r>
          </w:p>
        </w:tc>
      </w:tr>
      <w:tr w:rsidR="00236BFF" w14:paraId="432FA969" w14:textId="0F417390" w:rsidTr="00EB447F">
        <w:tc>
          <w:tcPr>
            <w:tcW w:w="5386" w:type="dxa"/>
          </w:tcPr>
          <w:p w14:paraId="2E809C1A" w14:textId="16830A32" w:rsidR="00236BFF" w:rsidRDefault="00236BFF" w:rsidP="00EB447F">
            <w:pPr>
              <w:spacing w:after="60"/>
            </w:pPr>
            <w:r>
              <w:t>Work in Headington</w:t>
            </w:r>
          </w:p>
        </w:tc>
        <w:tc>
          <w:tcPr>
            <w:tcW w:w="1391" w:type="dxa"/>
          </w:tcPr>
          <w:p w14:paraId="16F153FC" w14:textId="3CA71603" w:rsidR="00236BFF" w:rsidRDefault="00236BFF" w:rsidP="00EB447F">
            <w:pPr>
              <w:spacing w:after="60"/>
            </w:pPr>
            <w:r>
              <w:t>3</w:t>
            </w:r>
          </w:p>
        </w:tc>
        <w:tc>
          <w:tcPr>
            <w:tcW w:w="1444" w:type="dxa"/>
          </w:tcPr>
          <w:p w14:paraId="5CFB05CC" w14:textId="63B3D79D" w:rsidR="00236BFF" w:rsidRDefault="0060659E" w:rsidP="00EB447F">
            <w:pPr>
              <w:spacing w:after="60"/>
            </w:pPr>
            <w:r>
              <w:t>0.7%</w:t>
            </w:r>
          </w:p>
        </w:tc>
      </w:tr>
      <w:tr w:rsidR="00236BFF" w14:paraId="614E6E4F" w14:textId="251A3C93" w:rsidTr="00EB447F">
        <w:tc>
          <w:tcPr>
            <w:tcW w:w="5386" w:type="dxa"/>
          </w:tcPr>
          <w:p w14:paraId="66089BAE" w14:textId="18EAAA4A" w:rsidR="00236BFF" w:rsidRDefault="00236BFF" w:rsidP="00EB447F">
            <w:pPr>
              <w:spacing w:after="60"/>
            </w:pPr>
            <w:r>
              <w:t>Live and work in Headington</w:t>
            </w:r>
          </w:p>
        </w:tc>
        <w:tc>
          <w:tcPr>
            <w:tcW w:w="1391" w:type="dxa"/>
          </w:tcPr>
          <w:p w14:paraId="73496256" w14:textId="710445FB" w:rsidR="00236BFF" w:rsidRDefault="00236BFF" w:rsidP="00EB447F">
            <w:pPr>
              <w:spacing w:after="60"/>
            </w:pPr>
            <w:r>
              <w:t>48</w:t>
            </w:r>
          </w:p>
        </w:tc>
        <w:tc>
          <w:tcPr>
            <w:tcW w:w="1444" w:type="dxa"/>
          </w:tcPr>
          <w:p w14:paraId="7A92A898" w14:textId="04FAF4F2" w:rsidR="00236BFF" w:rsidRDefault="0060659E" w:rsidP="00EB447F">
            <w:pPr>
              <w:spacing w:after="60"/>
            </w:pPr>
            <w:r>
              <w:t>11.5%</w:t>
            </w:r>
          </w:p>
        </w:tc>
      </w:tr>
      <w:tr w:rsidR="00236BFF" w14:paraId="0EF0F5FA" w14:textId="675ABD36" w:rsidTr="00EB447F">
        <w:tc>
          <w:tcPr>
            <w:tcW w:w="5386" w:type="dxa"/>
          </w:tcPr>
          <w:p w14:paraId="0583F683" w14:textId="4D1943A6" w:rsidR="00236BFF" w:rsidRDefault="00236BFF" w:rsidP="00EB447F">
            <w:pPr>
              <w:spacing w:after="60"/>
            </w:pPr>
            <w:r>
              <w:lastRenderedPageBreak/>
              <w:t>Represent an organisation that has an interest in the Headington area</w:t>
            </w:r>
          </w:p>
        </w:tc>
        <w:tc>
          <w:tcPr>
            <w:tcW w:w="1391" w:type="dxa"/>
          </w:tcPr>
          <w:p w14:paraId="3294BBAF" w14:textId="4BFDA6AB" w:rsidR="00236BFF" w:rsidRDefault="00236BFF" w:rsidP="00EB447F">
            <w:pPr>
              <w:spacing w:after="60"/>
            </w:pPr>
            <w:r>
              <w:t>10</w:t>
            </w:r>
          </w:p>
        </w:tc>
        <w:tc>
          <w:tcPr>
            <w:tcW w:w="1444" w:type="dxa"/>
          </w:tcPr>
          <w:p w14:paraId="1F19B356" w14:textId="793EF9B5" w:rsidR="00236BFF" w:rsidRDefault="0060659E" w:rsidP="00EB447F">
            <w:pPr>
              <w:spacing w:after="60"/>
            </w:pPr>
            <w:r>
              <w:t>2.4%</w:t>
            </w:r>
          </w:p>
        </w:tc>
      </w:tr>
    </w:tbl>
    <w:p w14:paraId="29F25BEB" w14:textId="77777777" w:rsidR="00236BFF" w:rsidRDefault="00236BFF" w:rsidP="00EB447F">
      <w:pPr>
        <w:spacing w:after="60"/>
        <w:ind w:left="1080"/>
      </w:pPr>
    </w:p>
    <w:p w14:paraId="09DCF5EB" w14:textId="4153E416" w:rsidR="006E6388" w:rsidRDefault="00C032D8" w:rsidP="00EB447F">
      <w:pPr>
        <w:pStyle w:val="bParagraphtext"/>
        <w:numPr>
          <w:ilvl w:val="0"/>
          <w:numId w:val="0"/>
        </w:numPr>
        <w:ind w:left="426"/>
      </w:pPr>
      <w:r>
        <w:t>Of those who registered 399 voted, as follows:</w:t>
      </w:r>
    </w:p>
    <w:tbl>
      <w:tblPr>
        <w:tblStyle w:val="TableGrid"/>
        <w:tblW w:w="0" w:type="auto"/>
        <w:tblInd w:w="534" w:type="dxa"/>
        <w:tblLook w:val="04A0" w:firstRow="1" w:lastRow="0" w:firstColumn="1" w:lastColumn="0" w:noHBand="0" w:noVBand="1"/>
      </w:tblPr>
      <w:tblGrid>
        <w:gridCol w:w="3249"/>
        <w:gridCol w:w="2705"/>
        <w:gridCol w:w="2800"/>
      </w:tblGrid>
      <w:tr w:rsidR="00236BFF" w14:paraId="42DADE76" w14:textId="77777777" w:rsidTr="00EB447F">
        <w:tc>
          <w:tcPr>
            <w:tcW w:w="3343" w:type="dxa"/>
            <w:shd w:val="clear" w:color="auto" w:fill="BFBFBF" w:themeFill="background1" w:themeFillShade="BF"/>
          </w:tcPr>
          <w:p w14:paraId="531AC05C" w14:textId="1254E14E" w:rsidR="00236BFF" w:rsidRDefault="00236BFF" w:rsidP="00615A76">
            <w:r>
              <w:t>Answer</w:t>
            </w:r>
          </w:p>
        </w:tc>
        <w:tc>
          <w:tcPr>
            <w:tcW w:w="2780" w:type="dxa"/>
            <w:shd w:val="clear" w:color="auto" w:fill="BFBFBF" w:themeFill="background1" w:themeFillShade="BF"/>
          </w:tcPr>
          <w:p w14:paraId="445279E4" w14:textId="5D5426A8" w:rsidR="00236BFF" w:rsidRDefault="00236BFF" w:rsidP="00615A76">
            <w:r>
              <w:t>Number</w:t>
            </w:r>
          </w:p>
        </w:tc>
        <w:tc>
          <w:tcPr>
            <w:tcW w:w="2857" w:type="dxa"/>
            <w:shd w:val="clear" w:color="auto" w:fill="BFBFBF" w:themeFill="background1" w:themeFillShade="BF"/>
          </w:tcPr>
          <w:p w14:paraId="2B1AEBF5" w14:textId="005BD327" w:rsidR="00236BFF" w:rsidRDefault="00236BFF" w:rsidP="00615A76">
            <w:r>
              <w:t>Percentages</w:t>
            </w:r>
          </w:p>
        </w:tc>
      </w:tr>
      <w:tr w:rsidR="00236BFF" w14:paraId="70CED86F" w14:textId="77777777" w:rsidTr="00EB447F">
        <w:tc>
          <w:tcPr>
            <w:tcW w:w="3343" w:type="dxa"/>
          </w:tcPr>
          <w:p w14:paraId="61952124" w14:textId="5DC023A8" w:rsidR="00236BFF" w:rsidRDefault="00236BFF" w:rsidP="00615A76">
            <w:r>
              <w:t>Strongly agree</w:t>
            </w:r>
          </w:p>
        </w:tc>
        <w:tc>
          <w:tcPr>
            <w:tcW w:w="2780" w:type="dxa"/>
          </w:tcPr>
          <w:p w14:paraId="31255ED6" w14:textId="2F24CF7B" w:rsidR="00236BFF" w:rsidRDefault="00236BFF" w:rsidP="00615A76">
            <w:r>
              <w:t>111</w:t>
            </w:r>
          </w:p>
        </w:tc>
        <w:tc>
          <w:tcPr>
            <w:tcW w:w="2857" w:type="dxa"/>
          </w:tcPr>
          <w:p w14:paraId="01B3FBC8" w14:textId="5E41F7E2" w:rsidR="00236BFF" w:rsidRDefault="00236BFF" w:rsidP="00615A76">
            <w:r>
              <w:t>27.8%</w:t>
            </w:r>
          </w:p>
        </w:tc>
      </w:tr>
      <w:tr w:rsidR="00236BFF" w14:paraId="56B9007F" w14:textId="77777777" w:rsidTr="00EB447F">
        <w:tc>
          <w:tcPr>
            <w:tcW w:w="3343" w:type="dxa"/>
          </w:tcPr>
          <w:p w14:paraId="4A51FDAE" w14:textId="323875AE" w:rsidR="00236BFF" w:rsidRDefault="00236BFF" w:rsidP="00615A76">
            <w:r>
              <w:t>Agree</w:t>
            </w:r>
          </w:p>
        </w:tc>
        <w:tc>
          <w:tcPr>
            <w:tcW w:w="2780" w:type="dxa"/>
          </w:tcPr>
          <w:p w14:paraId="467DE795" w14:textId="3B075F71" w:rsidR="00236BFF" w:rsidRDefault="00236BFF" w:rsidP="00615A76">
            <w:r>
              <w:t>68</w:t>
            </w:r>
          </w:p>
        </w:tc>
        <w:tc>
          <w:tcPr>
            <w:tcW w:w="2857" w:type="dxa"/>
          </w:tcPr>
          <w:p w14:paraId="672A2421" w14:textId="23CF8706" w:rsidR="00236BFF" w:rsidRDefault="00236BFF" w:rsidP="00615A76">
            <w:r>
              <w:t>17%</w:t>
            </w:r>
          </w:p>
        </w:tc>
      </w:tr>
      <w:tr w:rsidR="00236BFF" w14:paraId="6B117F9D" w14:textId="77777777" w:rsidTr="00EB447F">
        <w:tc>
          <w:tcPr>
            <w:tcW w:w="3343" w:type="dxa"/>
          </w:tcPr>
          <w:p w14:paraId="4248555B" w14:textId="1959A7C4" w:rsidR="00236BFF" w:rsidRDefault="00236BFF" w:rsidP="00615A76">
            <w:r>
              <w:t>Neither agree nor disagree</w:t>
            </w:r>
          </w:p>
        </w:tc>
        <w:tc>
          <w:tcPr>
            <w:tcW w:w="2780" w:type="dxa"/>
          </w:tcPr>
          <w:p w14:paraId="6BFF6C48" w14:textId="1F85DC40" w:rsidR="00236BFF" w:rsidRDefault="00236BFF" w:rsidP="00615A76">
            <w:r>
              <w:t>28</w:t>
            </w:r>
          </w:p>
        </w:tc>
        <w:tc>
          <w:tcPr>
            <w:tcW w:w="2857" w:type="dxa"/>
          </w:tcPr>
          <w:p w14:paraId="40E9F965" w14:textId="6B7BB690" w:rsidR="00236BFF" w:rsidRDefault="00236BFF" w:rsidP="00615A76">
            <w:r>
              <w:t>7%</w:t>
            </w:r>
          </w:p>
        </w:tc>
      </w:tr>
      <w:tr w:rsidR="00236BFF" w14:paraId="155A2EE1" w14:textId="77777777" w:rsidTr="00EB447F">
        <w:tc>
          <w:tcPr>
            <w:tcW w:w="3343" w:type="dxa"/>
          </w:tcPr>
          <w:p w14:paraId="18EF4A40" w14:textId="3FC536A5" w:rsidR="00236BFF" w:rsidRDefault="00236BFF" w:rsidP="00615A76">
            <w:r>
              <w:t>Disagree</w:t>
            </w:r>
          </w:p>
        </w:tc>
        <w:tc>
          <w:tcPr>
            <w:tcW w:w="2780" w:type="dxa"/>
          </w:tcPr>
          <w:p w14:paraId="2F0042AE" w14:textId="0BCE27AB" w:rsidR="00236BFF" w:rsidRDefault="00236BFF" w:rsidP="00615A76">
            <w:r>
              <w:t>34</w:t>
            </w:r>
          </w:p>
        </w:tc>
        <w:tc>
          <w:tcPr>
            <w:tcW w:w="2857" w:type="dxa"/>
          </w:tcPr>
          <w:p w14:paraId="380AE75A" w14:textId="7AF6D8EF" w:rsidR="00236BFF" w:rsidRDefault="00236BFF" w:rsidP="00615A76">
            <w:r>
              <w:t>8.6%</w:t>
            </w:r>
          </w:p>
        </w:tc>
      </w:tr>
      <w:tr w:rsidR="00236BFF" w14:paraId="573478EE" w14:textId="77777777" w:rsidTr="00EB447F">
        <w:tc>
          <w:tcPr>
            <w:tcW w:w="3343" w:type="dxa"/>
          </w:tcPr>
          <w:p w14:paraId="17E697E9" w14:textId="13102A51" w:rsidR="00236BFF" w:rsidRDefault="00236BFF" w:rsidP="00615A76">
            <w:r>
              <w:t>Strongly Disagree</w:t>
            </w:r>
          </w:p>
        </w:tc>
        <w:tc>
          <w:tcPr>
            <w:tcW w:w="2780" w:type="dxa"/>
          </w:tcPr>
          <w:p w14:paraId="045E7694" w14:textId="6E340F75" w:rsidR="00236BFF" w:rsidRDefault="00236BFF" w:rsidP="00615A76">
            <w:r>
              <w:t>158</w:t>
            </w:r>
          </w:p>
        </w:tc>
        <w:tc>
          <w:tcPr>
            <w:tcW w:w="2857" w:type="dxa"/>
          </w:tcPr>
          <w:p w14:paraId="36F7B055" w14:textId="66F4CEEF" w:rsidR="00236BFF" w:rsidRDefault="00236BFF" w:rsidP="00615A76">
            <w:r>
              <w:t>39.6%</w:t>
            </w:r>
          </w:p>
        </w:tc>
      </w:tr>
    </w:tbl>
    <w:p w14:paraId="5939C207" w14:textId="77777777" w:rsidR="00236BFF" w:rsidRDefault="00236BFF" w:rsidP="008E035A"/>
    <w:p w14:paraId="52EE00F5" w14:textId="65732528" w:rsidR="006E6388" w:rsidRDefault="00D12037" w:rsidP="008E035A">
      <w:pPr>
        <w:pStyle w:val="bParagraphtext"/>
      </w:pPr>
      <w:r>
        <w:t>The results show that</w:t>
      </w:r>
      <w:r w:rsidR="006E6388">
        <w:t xml:space="preserve"> </w:t>
      </w:r>
      <w:r>
        <w:t>48.1% disagree or strongly disagree</w:t>
      </w:r>
      <w:r w:rsidR="0047730A" w:rsidRPr="0047730A">
        <w:t xml:space="preserve"> that a Community (Parish) Council should be created for </w:t>
      </w:r>
      <w:r w:rsidR="0047730A">
        <w:t xml:space="preserve">the </w:t>
      </w:r>
      <w:r w:rsidR="0047730A" w:rsidRPr="0047730A">
        <w:t>area shown on the map</w:t>
      </w:r>
      <w:r>
        <w:t xml:space="preserve"> and</w:t>
      </w:r>
      <w:r w:rsidR="006E6388">
        <w:t xml:space="preserve"> 4</w:t>
      </w:r>
      <w:r w:rsidR="00C14937">
        <w:t>4.8</w:t>
      </w:r>
      <w:r w:rsidR="006E6388">
        <w:t>% agree or strongly agree</w:t>
      </w:r>
      <w:r w:rsidR="0047730A" w:rsidRPr="0047730A">
        <w:t xml:space="preserve"> </w:t>
      </w:r>
      <w:r w:rsidR="006E6388">
        <w:t xml:space="preserve">and </w:t>
      </w:r>
      <w:r w:rsidR="00E0021F">
        <w:t>7</w:t>
      </w:r>
      <w:r>
        <w:t>.1</w:t>
      </w:r>
      <w:r w:rsidR="00E0021F">
        <w:t xml:space="preserve">% neither agreed </w:t>
      </w:r>
      <w:r w:rsidR="0047730A">
        <w:t>n</w:t>
      </w:r>
      <w:r w:rsidR="00E0021F">
        <w:t>or disagreed.</w:t>
      </w:r>
    </w:p>
    <w:p w14:paraId="46DC29F6" w14:textId="0FA78AC7" w:rsidR="00615A76" w:rsidRDefault="00615A76" w:rsidP="008E035A">
      <w:pPr>
        <w:pStyle w:val="bParagraphtext"/>
      </w:pPr>
      <w:r>
        <w:t>The main themes to arise from the comments</w:t>
      </w:r>
      <w:r w:rsidR="006E6388">
        <w:t xml:space="preserve"> given</w:t>
      </w:r>
      <w:r>
        <w:t xml:space="preserve"> were as follows:</w:t>
      </w:r>
    </w:p>
    <w:p w14:paraId="2F850ED9" w14:textId="005BF447" w:rsidR="00615A76" w:rsidRPr="008E035A" w:rsidRDefault="00615A76" w:rsidP="008E035A">
      <w:pPr>
        <w:pStyle w:val="Bulletpoints"/>
        <w:numPr>
          <w:ilvl w:val="0"/>
          <w:numId w:val="0"/>
        </w:numPr>
        <w:ind w:left="568"/>
        <w:rPr>
          <w:b/>
          <w:u w:val="single"/>
        </w:rPr>
      </w:pPr>
      <w:r w:rsidRPr="008E035A">
        <w:rPr>
          <w:b/>
          <w:u w:val="single"/>
        </w:rPr>
        <w:t>For</w:t>
      </w:r>
      <w:r w:rsidR="00FD58C8" w:rsidRPr="008E035A">
        <w:rPr>
          <w:b/>
          <w:u w:val="single"/>
        </w:rPr>
        <w:t xml:space="preserve"> the creation of a community council</w:t>
      </w:r>
    </w:p>
    <w:p w14:paraId="1E9756B4" w14:textId="0A948989" w:rsidR="00615A76" w:rsidRDefault="00B105F4" w:rsidP="008E035A">
      <w:pPr>
        <w:pStyle w:val="Bulletpoints"/>
      </w:pPr>
      <w:r>
        <w:t>Headington has a sense of community and a community council would help that</w:t>
      </w:r>
    </w:p>
    <w:p w14:paraId="7F6CF980" w14:textId="785EFA17" w:rsidR="00B105F4" w:rsidRDefault="00B105F4" w:rsidP="008E035A">
      <w:pPr>
        <w:pStyle w:val="Bulletpoints"/>
      </w:pPr>
      <w:r>
        <w:t>A community council would help give residents</w:t>
      </w:r>
      <w:r w:rsidR="00D63969">
        <w:t>’</w:t>
      </w:r>
      <w:r>
        <w:t xml:space="preserve"> views more weight, against those of the big institutions in the area (Oxford Brookes, the hospitals and Oxford University)</w:t>
      </w:r>
    </w:p>
    <w:p w14:paraId="358AE50A" w14:textId="6D423216" w:rsidR="00B105F4" w:rsidRDefault="00FA20CC" w:rsidP="008E035A">
      <w:pPr>
        <w:pStyle w:val="Bulletpoints"/>
      </w:pPr>
      <w:r>
        <w:t xml:space="preserve">A statutory </w:t>
      </w:r>
      <w:r w:rsidR="00E85128">
        <w:t>participant</w:t>
      </w:r>
      <w:r>
        <w:t xml:space="preserve"> in the planning process</w:t>
      </w:r>
    </w:p>
    <w:p w14:paraId="1F8854A1" w14:textId="3F5E5669" w:rsidR="00E85128" w:rsidRDefault="00E85128" w:rsidP="008E035A">
      <w:pPr>
        <w:pStyle w:val="Bulletpoints"/>
      </w:pPr>
      <w:r>
        <w:t>Would act as a single voice for Headington and have democratic legitimacy</w:t>
      </w:r>
    </w:p>
    <w:p w14:paraId="2125DA94" w14:textId="497D4511" w:rsidR="00E85128" w:rsidRDefault="00E85128" w:rsidP="008E035A">
      <w:pPr>
        <w:pStyle w:val="Bulletpoints"/>
      </w:pPr>
      <w:r>
        <w:t>Have influence with other councils</w:t>
      </w:r>
    </w:p>
    <w:p w14:paraId="3F10A334" w14:textId="51A978A1" w:rsidR="00670F8D" w:rsidRDefault="00E85128" w:rsidP="008E035A">
      <w:pPr>
        <w:pStyle w:val="Bulletpoints"/>
      </w:pPr>
      <w:r>
        <w:t>Be able to raise money to spend directly in the area under local priorities</w:t>
      </w:r>
    </w:p>
    <w:p w14:paraId="352550C5" w14:textId="12F740F3" w:rsidR="00670F8D" w:rsidRDefault="00670F8D" w:rsidP="008E035A">
      <w:pPr>
        <w:pStyle w:val="Bulletpoints"/>
      </w:pPr>
      <w:r>
        <w:t xml:space="preserve">The community council would be able to spend any income derived from the Community </w:t>
      </w:r>
      <w:r w:rsidR="0047730A">
        <w:t>Infras</w:t>
      </w:r>
      <w:r>
        <w:t>tructure Levy that arose from developments in Headington, to local priorities</w:t>
      </w:r>
    </w:p>
    <w:p w14:paraId="5453D2AD" w14:textId="69A86294" w:rsidR="00B105F4" w:rsidRDefault="00670F8D" w:rsidP="008E035A">
      <w:pPr>
        <w:pStyle w:val="Bulletpoints"/>
      </w:pPr>
      <w:r>
        <w:t>Better to have decisions made as local as possible</w:t>
      </w:r>
      <w:r w:rsidR="00E733B9">
        <w:t>;</w:t>
      </w:r>
    </w:p>
    <w:p w14:paraId="4630AFA8" w14:textId="38F8D1C3" w:rsidR="00615A76" w:rsidRPr="008E035A" w:rsidRDefault="00615A76" w:rsidP="008E035A">
      <w:pPr>
        <w:pStyle w:val="Bulletpoints"/>
        <w:numPr>
          <w:ilvl w:val="0"/>
          <w:numId w:val="0"/>
        </w:numPr>
        <w:ind w:left="568"/>
        <w:rPr>
          <w:b/>
          <w:u w:val="single"/>
        </w:rPr>
      </w:pPr>
      <w:r w:rsidRPr="008E035A">
        <w:rPr>
          <w:b/>
          <w:u w:val="single"/>
        </w:rPr>
        <w:t>Against</w:t>
      </w:r>
      <w:r w:rsidR="00FD58C8" w:rsidRPr="008E035A">
        <w:rPr>
          <w:b/>
          <w:u w:val="single"/>
        </w:rPr>
        <w:t xml:space="preserve"> the creation of </w:t>
      </w:r>
      <w:r w:rsidR="0057775F" w:rsidRPr="008E035A">
        <w:rPr>
          <w:b/>
          <w:u w:val="single"/>
        </w:rPr>
        <w:t>a</w:t>
      </w:r>
      <w:r w:rsidR="00FD58C8" w:rsidRPr="008E035A">
        <w:rPr>
          <w:b/>
          <w:u w:val="single"/>
        </w:rPr>
        <w:t xml:space="preserve"> community council</w:t>
      </w:r>
    </w:p>
    <w:p w14:paraId="54CF91DA" w14:textId="4CEC636B" w:rsidR="00615A76" w:rsidRDefault="00631B7F" w:rsidP="008E035A">
      <w:pPr>
        <w:pStyle w:val="Bulletpoints"/>
      </w:pPr>
      <w:r>
        <w:t>Against paying more c</w:t>
      </w:r>
      <w:r w:rsidR="00FA20CC">
        <w:t>ouncil tax, it’s high enough already without adding to it</w:t>
      </w:r>
    </w:p>
    <w:p w14:paraId="32DFA246" w14:textId="266656EE" w:rsidR="00615A76" w:rsidRDefault="00615A76" w:rsidP="008E035A">
      <w:pPr>
        <w:pStyle w:val="Bulletpoints"/>
      </w:pPr>
      <w:r>
        <w:t>Already enough/too many layers of local government</w:t>
      </w:r>
    </w:p>
    <w:p w14:paraId="544CEE7F" w14:textId="298C8B18" w:rsidR="00615A76" w:rsidRDefault="00615A76" w:rsidP="008E035A">
      <w:pPr>
        <w:pStyle w:val="Bulletpoints"/>
      </w:pPr>
      <w:r>
        <w:t>Happy with the local councils/councillors, no need for more</w:t>
      </w:r>
    </w:p>
    <w:p w14:paraId="3F95D4DC" w14:textId="099AF09E" w:rsidR="00615A76" w:rsidRDefault="00615A76" w:rsidP="008E035A">
      <w:pPr>
        <w:pStyle w:val="Bulletpoints"/>
      </w:pPr>
      <w:r>
        <w:t>Proposed area too big</w:t>
      </w:r>
      <w:r w:rsidR="00FA20CC">
        <w:t xml:space="preserve"> or not inclusive enough (e.g. should have included Wood Farm)</w:t>
      </w:r>
    </w:p>
    <w:p w14:paraId="7D9F18AC" w14:textId="408AE39F" w:rsidR="00B105F4" w:rsidRDefault="0052263C" w:rsidP="008E035A">
      <w:pPr>
        <w:pStyle w:val="Bulletpoints"/>
      </w:pPr>
      <w:r>
        <w:t>Too many different communities</w:t>
      </w:r>
      <w:r w:rsidR="00615A76">
        <w:t xml:space="preserve"> across the proposed area</w:t>
      </w:r>
      <w:r w:rsidR="00E85128">
        <w:t>, it is not a “distinctive and recognisable community”</w:t>
      </w:r>
    </w:p>
    <w:p w14:paraId="5B828282" w14:textId="590A36EA" w:rsidR="00B105F4" w:rsidRDefault="00FA20CC" w:rsidP="008E035A">
      <w:pPr>
        <w:pStyle w:val="Bulletpoints"/>
      </w:pPr>
      <w:r>
        <w:lastRenderedPageBreak/>
        <w:t>The same people would be on the</w:t>
      </w:r>
      <w:r w:rsidR="00B105F4">
        <w:t xml:space="preserve"> new council</w:t>
      </w:r>
      <w:r>
        <w:t xml:space="preserve"> as run local groups, </w:t>
      </w:r>
      <w:r w:rsidR="00D63969">
        <w:t xml:space="preserve">how would </w:t>
      </w:r>
      <w:r>
        <w:t>the new c</w:t>
      </w:r>
      <w:r w:rsidR="00D63969">
        <w:t>ouncil ensure a diversity of councillors?</w:t>
      </w:r>
    </w:p>
    <w:p w14:paraId="4A61FEA0" w14:textId="77777777" w:rsidR="00EB447F" w:rsidRDefault="00EB447F" w:rsidP="00EB447F">
      <w:pPr>
        <w:pStyle w:val="Bulletpoints"/>
        <w:numPr>
          <w:ilvl w:val="0"/>
          <w:numId w:val="0"/>
        </w:numPr>
        <w:ind w:left="993"/>
      </w:pPr>
    </w:p>
    <w:p w14:paraId="1924042F" w14:textId="7F2C0C14" w:rsidR="00FA20CC" w:rsidRPr="008E035A" w:rsidRDefault="00FD58C8" w:rsidP="008E035A">
      <w:pPr>
        <w:pStyle w:val="Bulletpoints"/>
        <w:numPr>
          <w:ilvl w:val="0"/>
          <w:numId w:val="0"/>
        </w:numPr>
        <w:ind w:left="568"/>
        <w:rPr>
          <w:b/>
          <w:u w:val="single"/>
        </w:rPr>
      </w:pPr>
      <w:r w:rsidRPr="008E035A">
        <w:rPr>
          <w:b/>
          <w:u w:val="single"/>
        </w:rPr>
        <w:t>General points</w:t>
      </w:r>
    </w:p>
    <w:p w14:paraId="587DC4B1" w14:textId="6F74F838" w:rsidR="00460DE8" w:rsidRDefault="00FA20CC" w:rsidP="008E035A">
      <w:pPr>
        <w:pStyle w:val="Bulletpoints"/>
      </w:pPr>
      <w:r>
        <w:t xml:space="preserve">People who voted for and against </w:t>
      </w:r>
      <w:r w:rsidR="0047730A">
        <w:t>creating a</w:t>
      </w:r>
      <w:r>
        <w:t xml:space="preserve"> new council e</w:t>
      </w:r>
      <w:r w:rsidR="0029383D">
        <w:t>xpressed concern about the make-</w:t>
      </w:r>
      <w:r>
        <w:t>up of any new councillors</w:t>
      </w:r>
      <w:r w:rsidR="00437262">
        <w:t xml:space="preserve"> questioning whether they</w:t>
      </w:r>
      <w:r>
        <w:t xml:space="preserve"> would be </w:t>
      </w:r>
      <w:r w:rsidR="0029383D">
        <w:t>representative of the area. Some also said it was difficult to make a choice as there wasn’t enough information or certainty of any community council’s future plans.</w:t>
      </w:r>
    </w:p>
    <w:p w14:paraId="7EF27D4E" w14:textId="756363D1" w:rsidR="00460DE8" w:rsidRDefault="00460DE8" w:rsidP="008E035A">
      <w:pPr>
        <w:pStyle w:val="Heading1"/>
      </w:pPr>
      <w:r w:rsidRPr="00460DE8">
        <w:t xml:space="preserve">City Councillors’ Headington Community </w:t>
      </w:r>
      <w:r w:rsidR="00DD5166">
        <w:t xml:space="preserve">Governance </w:t>
      </w:r>
      <w:r w:rsidRPr="00460DE8">
        <w:t>Review Working Group</w:t>
      </w:r>
    </w:p>
    <w:p w14:paraId="171087F3" w14:textId="1F927056" w:rsidR="005354EA" w:rsidRDefault="005354EA" w:rsidP="008E035A">
      <w:pPr>
        <w:pStyle w:val="bParagraphtext"/>
      </w:pPr>
      <w:r>
        <w:t xml:space="preserve">The Working Group was made up of Councillors Brown, </w:t>
      </w:r>
      <w:proofErr w:type="spellStart"/>
      <w:r>
        <w:t>Munkonge</w:t>
      </w:r>
      <w:proofErr w:type="spellEnd"/>
      <w:r>
        <w:t xml:space="preserve"> (both Labour), Garden (Liberal Democrat) and Simmons (Green). </w:t>
      </w:r>
    </w:p>
    <w:p w14:paraId="703C2AB3" w14:textId="61DE028B" w:rsidR="005354EA" w:rsidRDefault="005354EA" w:rsidP="008E035A">
      <w:pPr>
        <w:pStyle w:val="bParagraphtext"/>
      </w:pPr>
      <w:r>
        <w:t xml:space="preserve">The Working </w:t>
      </w:r>
      <w:r w:rsidR="00437262">
        <w:t>Group</w:t>
      </w:r>
      <w:r>
        <w:t xml:space="preserve"> considered the consultation, its results and the written responses.</w:t>
      </w:r>
    </w:p>
    <w:p w14:paraId="4F3F026C" w14:textId="77777777" w:rsidR="005354EA" w:rsidRDefault="005354EA" w:rsidP="008E035A">
      <w:pPr>
        <w:pStyle w:val="bParagraphtext"/>
      </w:pPr>
      <w:r>
        <w:t xml:space="preserve">It expressed its disappointment that the Forum’s hard work did not result in a more positive outcome. However supportive the Working Group was to the Forum’s intention to form a community council it felt that it could not go against the narrow but clear majority against the proposal as shown in the consultation. </w:t>
      </w:r>
    </w:p>
    <w:p w14:paraId="3F4CCA91" w14:textId="5E61F1A9" w:rsidR="005354EA" w:rsidRDefault="005354EA" w:rsidP="008E035A">
      <w:pPr>
        <w:pStyle w:val="bParagraphtext"/>
      </w:pPr>
      <w:r>
        <w:t xml:space="preserve">The </w:t>
      </w:r>
      <w:r w:rsidR="00437262">
        <w:t xml:space="preserve">Working </w:t>
      </w:r>
      <w:r>
        <w:t>Group felt there were lessons to learn for the Council in the organisation of future community governance reviews (this being the first in the city) and work for both the Council and the Forum in analysing the written responses.</w:t>
      </w:r>
    </w:p>
    <w:p w14:paraId="0003F4A5" w14:textId="77777777" w:rsidR="005354EA" w:rsidRDefault="005354EA" w:rsidP="008E035A">
      <w:pPr>
        <w:pStyle w:val="bParagraphtext"/>
      </w:pPr>
      <w:r>
        <w:t>It commended the dedication and hard work of the Forum and hoped the Council would be able to offer support to the Forum to further its activities where possible. It noted that the Forum could ask for a further community governance review in two years’ time and asked the Head of Law and Governance to investigate if the Forum could simply re-submit its request or whether it had to raise a petition to trigger a second review.</w:t>
      </w:r>
    </w:p>
    <w:p w14:paraId="32CD1ADC" w14:textId="038BC63B" w:rsidR="005354EA" w:rsidRDefault="005354EA" w:rsidP="008E035A">
      <w:pPr>
        <w:pStyle w:val="bParagraphtext"/>
      </w:pPr>
      <w:r>
        <w:t xml:space="preserve">The Working Group agreed to recommend </w:t>
      </w:r>
      <w:r w:rsidR="00437262">
        <w:t xml:space="preserve">to </w:t>
      </w:r>
      <w:r>
        <w:t>Council:</w:t>
      </w:r>
    </w:p>
    <w:p w14:paraId="7B3064EE" w14:textId="1D148449" w:rsidR="005354EA" w:rsidRDefault="005354EA" w:rsidP="008E035A">
      <w:pPr>
        <w:pStyle w:val="Bulletpoints"/>
      </w:pPr>
      <w:r>
        <w:t>not to approve the creation of a community council in Headington at this time;</w:t>
      </w:r>
    </w:p>
    <w:p w14:paraId="0A9CFC62" w14:textId="759712D2" w:rsidR="005354EA" w:rsidRDefault="005354EA" w:rsidP="008E035A">
      <w:pPr>
        <w:pStyle w:val="Bulletpoints"/>
      </w:pPr>
      <w:r>
        <w:t>to ask officers and councillors to investigate how they might assist the Headington Forum wherever they could</w:t>
      </w:r>
      <w:r w:rsidR="008E035A">
        <w:t xml:space="preserve"> to further its community work;</w:t>
      </w:r>
    </w:p>
    <w:p w14:paraId="438AF0E0" w14:textId="5B6676DB" w:rsidR="005354EA" w:rsidRDefault="005354EA" w:rsidP="008E035A">
      <w:pPr>
        <w:pStyle w:val="Bulletpoints"/>
      </w:pPr>
      <w:r>
        <w:t>that it asks officers to analyse, and where possible action, some of the specific comments re</w:t>
      </w:r>
      <w:r w:rsidR="008E035A">
        <w:t>turned during the consultation;</w:t>
      </w:r>
    </w:p>
    <w:p w14:paraId="2EABFCDD" w14:textId="11E31740" w:rsidR="005354EA" w:rsidRDefault="005354EA" w:rsidP="008E035A">
      <w:pPr>
        <w:pStyle w:val="Bulletpoints"/>
      </w:pPr>
      <w:proofErr w:type="gramStart"/>
      <w:r>
        <w:t>to</w:t>
      </w:r>
      <w:proofErr w:type="gramEnd"/>
      <w:r>
        <w:t xml:space="preserve"> request the Head of Law and Governance to investigate the procedure should the Forum request a second community governance review in two years’ time.</w:t>
      </w:r>
    </w:p>
    <w:p w14:paraId="36126FF5" w14:textId="650CB042" w:rsidR="0057775F" w:rsidRDefault="0057775F" w:rsidP="008E035A">
      <w:pPr>
        <w:pStyle w:val="bParagraphtext"/>
      </w:pPr>
      <w:r>
        <w:t>If the Council agrees to create the new community council then the Working Group will meet again to agree a warding scheme</w:t>
      </w:r>
      <w:r w:rsidR="004977DD">
        <w:t>,</w:t>
      </w:r>
      <w:r>
        <w:t xml:space="preserve"> the total number of councillors and the allocation of those councillors across the new parish wards. The Headington Forum would be consulted during this process.</w:t>
      </w:r>
    </w:p>
    <w:p w14:paraId="7D47499A" w14:textId="662F5E41" w:rsidR="00594029" w:rsidRPr="005955C3" w:rsidRDefault="00594029" w:rsidP="008E035A">
      <w:pPr>
        <w:pStyle w:val="Heading1"/>
      </w:pPr>
      <w:r>
        <w:t xml:space="preserve">Next </w:t>
      </w:r>
      <w:r w:rsidRPr="005955C3">
        <w:t>Steps</w:t>
      </w:r>
    </w:p>
    <w:p w14:paraId="32DF8AEA" w14:textId="2E2950EA" w:rsidR="00594029" w:rsidRDefault="008C5E08" w:rsidP="008E035A">
      <w:pPr>
        <w:pStyle w:val="bParagraphtext"/>
      </w:pPr>
      <w:r>
        <w:lastRenderedPageBreak/>
        <w:t xml:space="preserve">It had initially been hoped that any new council could be created in April 2020. Due to work needed to be undertaken by the City Council in analysing the consultation responses it was not possible to report to the October 2019 Council meeting as originally anticipated. Unfortunately this meant that </w:t>
      </w:r>
      <w:r w:rsidR="004977DD">
        <w:t xml:space="preserve">the Council’s </w:t>
      </w:r>
      <w:r>
        <w:t>Finance</w:t>
      </w:r>
      <w:r w:rsidR="004977DD">
        <w:t xml:space="preserve"> Service</w:t>
      </w:r>
      <w:r>
        <w:t xml:space="preserve"> would not be able to go through the procedures it would need to in order to set a council tax level in time for </w:t>
      </w:r>
      <w:r w:rsidR="00995A98">
        <w:t xml:space="preserve">implementation on 1 </w:t>
      </w:r>
      <w:r>
        <w:t xml:space="preserve">April 2020. With the agreement of the Headington Forum, it was decided that, should the Council </w:t>
      </w:r>
      <w:r w:rsidR="00AA5786">
        <w:t>resolv</w:t>
      </w:r>
      <w:r>
        <w:t>e to create the community council, it w</w:t>
      </w:r>
      <w:r w:rsidR="00995A98">
        <w:t>ould</w:t>
      </w:r>
      <w:r>
        <w:t xml:space="preserve"> come into being on 1 April 2021 and hold its first elections on 6 May 2021.</w:t>
      </w:r>
    </w:p>
    <w:p w14:paraId="3CDA9955" w14:textId="19350312" w:rsidR="00390C33" w:rsidRDefault="006E6388" w:rsidP="008E035A">
      <w:pPr>
        <w:pStyle w:val="Heading1"/>
      </w:pPr>
      <w:r w:rsidRPr="00D644C8">
        <w:t>Financial implications</w:t>
      </w:r>
    </w:p>
    <w:p w14:paraId="0D0AF4CE" w14:textId="0CC58B25" w:rsidR="00C14937" w:rsidRDefault="00C14937" w:rsidP="008E035A">
      <w:pPr>
        <w:pStyle w:val="bParagraphtext"/>
      </w:pPr>
      <w:r w:rsidRPr="00EA0F74">
        <w:t xml:space="preserve">If the </w:t>
      </w:r>
      <w:r>
        <w:t xml:space="preserve">decision is made to create the new “Headington Community Council”, that body will be treated as a parish council for </w:t>
      </w:r>
      <w:r w:rsidR="001D519F">
        <w:t>c</w:t>
      </w:r>
      <w:r>
        <w:t xml:space="preserve">ouncil </w:t>
      </w:r>
      <w:r w:rsidR="001D519F">
        <w:t>t</w:t>
      </w:r>
      <w:r>
        <w:t xml:space="preserve">ax purposes, in the same way as the parishes of Blackbird Leys, Littlemore, Old Marston, and Risinghurst &amp; Sandhills. </w:t>
      </w:r>
    </w:p>
    <w:p w14:paraId="69260694" w14:textId="03561099" w:rsidR="00E0021F" w:rsidRDefault="00E0021F" w:rsidP="008E035A">
      <w:pPr>
        <w:pStyle w:val="bParagraphtext"/>
      </w:pPr>
      <w:r>
        <w:t xml:space="preserve">The first stage in the annual council tax setting process is that Finance staff must calculate tax bases, both for the whole of the administrative area of Oxford City Council, and also for the individual parishes, and the unparished area of the city. A tax base is defined as “the taxable capacity of the area”, i.e. the number of dwellings in the relevant area taking into account exemptions and discounts, and then converted to “Band D equivalent dwellings”. For the </w:t>
      </w:r>
      <w:r w:rsidR="00FD58C8">
        <w:t>2021/22</w:t>
      </w:r>
      <w:r>
        <w:t xml:space="preserve"> financial year, this work will need be comple</w:t>
      </w:r>
      <w:r w:rsidR="00FD58C8">
        <w:t>ted by the end of November 2020</w:t>
      </w:r>
      <w:r w:rsidR="00EC30EA">
        <w:t>. A report on these matter</w:t>
      </w:r>
      <w:r w:rsidR="00AA5786">
        <w:t>s</w:t>
      </w:r>
      <w:r w:rsidR="00EC30EA">
        <w:t xml:space="preserve"> </w:t>
      </w:r>
      <w:r w:rsidR="00AA5786">
        <w:t xml:space="preserve">would </w:t>
      </w:r>
      <w:r>
        <w:t xml:space="preserve">go to </w:t>
      </w:r>
      <w:r w:rsidR="00995A98">
        <w:t xml:space="preserve">the </w:t>
      </w:r>
      <w:r>
        <w:t>Audit &amp; Governance Committee early in January 202</w:t>
      </w:r>
      <w:r w:rsidR="00FD58C8">
        <w:t>1</w:t>
      </w:r>
      <w:r>
        <w:t xml:space="preserve">. </w:t>
      </w:r>
    </w:p>
    <w:p w14:paraId="5C9EAA88" w14:textId="77777777" w:rsidR="0052263C" w:rsidRDefault="00C14937" w:rsidP="008E035A">
      <w:pPr>
        <w:pStyle w:val="bParagraphtext"/>
      </w:pPr>
      <w:r>
        <w:t xml:space="preserve">To establish the tax base for the Headington Community Council it will be necessary to amend the existing property reference numbers of the dwellings involved to reflect their new parish status. </w:t>
      </w:r>
    </w:p>
    <w:p w14:paraId="669EEED6" w14:textId="5AF2A1FA" w:rsidR="00C14937" w:rsidRDefault="00C14937" w:rsidP="008E035A">
      <w:pPr>
        <w:pStyle w:val="bParagraphtext"/>
      </w:pPr>
      <w:r>
        <w:t>As there will likely be some 6,500 dwellings involved, there will be a large amount of data input to be effected in a relatively short time s</w:t>
      </w:r>
      <w:r w:rsidR="00AA5786">
        <w:t>p</w:t>
      </w:r>
      <w:r>
        <w:t xml:space="preserve">an (see above). Capita Software Services have quoted a figure in the region of £12,500 </w:t>
      </w:r>
      <w:r w:rsidR="00995A98">
        <w:t xml:space="preserve">to do this </w:t>
      </w:r>
      <w:r w:rsidR="0052263C">
        <w:t>as</w:t>
      </w:r>
      <w:r>
        <w:t xml:space="preserve"> </w:t>
      </w:r>
      <w:r w:rsidR="00AA5786">
        <w:t>the Council</w:t>
      </w:r>
      <w:r>
        <w:t xml:space="preserve"> do</w:t>
      </w:r>
      <w:r w:rsidR="00AA5786">
        <w:t>es</w:t>
      </w:r>
      <w:r>
        <w:t xml:space="preserve"> not have the resources in-house</w:t>
      </w:r>
      <w:r w:rsidR="00243C2F">
        <w:t xml:space="preserve"> to undertake this work</w:t>
      </w:r>
      <w:r>
        <w:t xml:space="preserve">.  </w:t>
      </w:r>
    </w:p>
    <w:p w14:paraId="1BD8A640" w14:textId="6E76C27D" w:rsidR="0052263C" w:rsidRDefault="0052263C" w:rsidP="008E035A">
      <w:pPr>
        <w:pStyle w:val="bParagraphtext"/>
      </w:pPr>
      <w:r>
        <w:t>In early February 202</w:t>
      </w:r>
      <w:r w:rsidR="00FD58C8">
        <w:t>1</w:t>
      </w:r>
      <w:r>
        <w:t xml:space="preserve"> the City Council will set its level of Council Tax for the 202</w:t>
      </w:r>
      <w:r w:rsidR="00FD58C8">
        <w:t>1</w:t>
      </w:r>
      <w:r>
        <w:t>/2</w:t>
      </w:r>
      <w:r w:rsidR="00FD58C8">
        <w:t>2</w:t>
      </w:r>
      <w:r>
        <w:t xml:space="preserve"> financial year. The parish council taxes are calculated by dividing their precepts (the amounts calculated by the parishes that are needed to carry out their statutory functions) by their tax base. Those amounts are then collected by the City Council along with the other elements of the Council Tax. The precept for the Headington Community Council in </w:t>
      </w:r>
      <w:r w:rsidR="00FD58C8">
        <w:t>2021/22</w:t>
      </w:r>
      <w:r>
        <w:t xml:space="preserve"> will likely be low to provide only for basics such as employing a clerk and a small budget. The new community council will then decide its priorities and set an appropriate precept for 202</w:t>
      </w:r>
      <w:r w:rsidR="00FD58C8">
        <w:t>2/23</w:t>
      </w:r>
      <w:r>
        <w:t xml:space="preserve">. Careful thought will thus be needed to determine an equitable Headington Community Council Tax for the initial year.    </w:t>
      </w:r>
    </w:p>
    <w:p w14:paraId="5DADD788" w14:textId="293CE6C8" w:rsidR="00D644C8" w:rsidRDefault="00D644C8" w:rsidP="008E035A">
      <w:pPr>
        <w:pStyle w:val="bParagraphtext"/>
        <w:rPr>
          <w:color w:val="auto"/>
        </w:rPr>
      </w:pPr>
      <w:r w:rsidRPr="00D644C8">
        <w:rPr>
          <w:color w:val="auto"/>
        </w:rPr>
        <w:t>The City Council would provide clerking services for the first few months of the new counc</w:t>
      </w:r>
      <w:r w:rsidR="00730092">
        <w:rPr>
          <w:color w:val="auto"/>
        </w:rPr>
        <w:t>il’s existence, until the newly-</w:t>
      </w:r>
      <w:r w:rsidRPr="00D644C8">
        <w:rPr>
          <w:color w:val="auto"/>
        </w:rPr>
        <w:t>elected council c</w:t>
      </w:r>
      <w:r w:rsidR="00AA5786">
        <w:rPr>
          <w:color w:val="auto"/>
        </w:rPr>
        <w:t>ould</w:t>
      </w:r>
      <w:r w:rsidRPr="00D644C8">
        <w:rPr>
          <w:color w:val="auto"/>
        </w:rPr>
        <w:t xml:space="preserve"> go through a recruitment process.</w:t>
      </w:r>
      <w:r w:rsidR="00C14937">
        <w:rPr>
          <w:color w:val="auto"/>
        </w:rPr>
        <w:t xml:space="preserve"> The community council would be recharged for those costs.</w:t>
      </w:r>
    </w:p>
    <w:p w14:paraId="5DD019A1" w14:textId="32B96F1E" w:rsidR="0040736F" w:rsidRPr="001356F1" w:rsidRDefault="00DA614B" w:rsidP="008E035A">
      <w:pPr>
        <w:pStyle w:val="Heading1"/>
      </w:pPr>
      <w:r w:rsidRPr="00050D54">
        <w:t>Legal issues</w:t>
      </w:r>
    </w:p>
    <w:p w14:paraId="13741D6B" w14:textId="206E4AB2" w:rsidR="00E87F7A" w:rsidRDefault="00487872" w:rsidP="008E035A">
      <w:pPr>
        <w:pStyle w:val="bParagraphtext"/>
      </w:pPr>
      <w:r>
        <w:t>There are legal implications</w:t>
      </w:r>
      <w:r w:rsidR="000877F2">
        <w:t xml:space="preserve"> insofar as the</w:t>
      </w:r>
      <w:r w:rsidR="009134D3">
        <w:t xml:space="preserve"> Council </w:t>
      </w:r>
      <w:r w:rsidR="000D2ED6">
        <w:t xml:space="preserve">must ensure that it makes its decision, </w:t>
      </w:r>
      <w:r w:rsidR="00837297">
        <w:t>whatever that might be</w:t>
      </w:r>
      <w:r w:rsidR="000D2ED6">
        <w:t xml:space="preserve">, </w:t>
      </w:r>
      <w:r w:rsidR="00044103">
        <w:t>in accordance with the Local Government and Public Involvement in Health Act 2007</w:t>
      </w:r>
      <w:r w:rsidR="00925EE4">
        <w:t xml:space="preserve"> (sections 79-100)</w:t>
      </w:r>
      <w:r w:rsidR="000D2ED6">
        <w:t xml:space="preserve"> and associated regulations</w:t>
      </w:r>
      <w:r w:rsidR="00044103">
        <w:t xml:space="preserve"> </w:t>
      </w:r>
      <w:r w:rsidR="00044103">
        <w:lastRenderedPageBreak/>
        <w:t xml:space="preserve">and </w:t>
      </w:r>
      <w:r w:rsidR="002250D7">
        <w:t>G</w:t>
      </w:r>
      <w:r w:rsidR="00044103">
        <w:t>uidance</w:t>
      </w:r>
      <w:r>
        <w:t>.</w:t>
      </w:r>
      <w:r w:rsidR="00B75541">
        <w:t xml:space="preserve"> </w:t>
      </w:r>
      <w:r w:rsidR="00417AF6">
        <w:t>The Council “must have regard” to the Guidance and should interpret the Guidance in the context of its duty under the Act which is to have regard to the need to ensure that community governance within the area reflects the needs and interests of the community in that area and is effective and convenient.</w:t>
      </w:r>
      <w:r w:rsidR="00DD5166">
        <w:t xml:space="preserve"> In doing so the Council should also consider the impact of community governance arrangements on community cohesion.</w:t>
      </w:r>
    </w:p>
    <w:p w14:paraId="120786BC" w14:textId="621EA6DB" w:rsidR="00050D54" w:rsidRDefault="00995A98" w:rsidP="008E035A">
      <w:pPr>
        <w:pStyle w:val="bParagraphtext"/>
      </w:pPr>
      <w:r>
        <w:t xml:space="preserve">Besides the legislation </w:t>
      </w:r>
      <w:r w:rsidR="00DD5166">
        <w:t xml:space="preserve">and Guidance </w:t>
      </w:r>
      <w:r>
        <w:t>referred to above t</w:t>
      </w:r>
      <w:r w:rsidR="00050D54">
        <w:t>here is little case law in relation to this type of community governance review</w:t>
      </w:r>
      <w:r w:rsidR="00DD5166">
        <w:t>.</w:t>
      </w:r>
      <w:r w:rsidR="00050D54">
        <w:t xml:space="preserve"> . </w:t>
      </w:r>
      <w:r>
        <w:t xml:space="preserve">However </w:t>
      </w:r>
      <w:r w:rsidR="00DD5166">
        <w:t>i</w:t>
      </w:r>
      <w:r w:rsidR="00050D54">
        <w:t xml:space="preserve">n </w:t>
      </w:r>
      <w:r>
        <w:t xml:space="preserve">the case </w:t>
      </w:r>
      <w:r w:rsidR="00050D54" w:rsidRPr="00050D54">
        <w:rPr>
          <w:i/>
        </w:rPr>
        <w:t xml:space="preserve">R </w:t>
      </w:r>
      <w:r w:rsidR="00374583">
        <w:rPr>
          <w:i/>
        </w:rPr>
        <w:t>(</w:t>
      </w:r>
      <w:r w:rsidR="00050D54" w:rsidRPr="00050D54">
        <w:rPr>
          <w:i/>
        </w:rPr>
        <w:t xml:space="preserve">on the application of </w:t>
      </w:r>
      <w:proofErr w:type="spellStart"/>
      <w:r w:rsidR="00050D54" w:rsidRPr="00050D54">
        <w:rPr>
          <w:i/>
        </w:rPr>
        <w:t>Britwell</w:t>
      </w:r>
      <w:proofErr w:type="spellEnd"/>
      <w:r w:rsidR="00050D54" w:rsidRPr="00050D54">
        <w:rPr>
          <w:i/>
        </w:rPr>
        <w:t xml:space="preserve"> Parish</w:t>
      </w:r>
      <w:r w:rsidR="00374583">
        <w:rPr>
          <w:i/>
        </w:rPr>
        <w:t>)</w:t>
      </w:r>
      <w:r w:rsidR="00050D54" w:rsidRPr="00050D54">
        <w:rPr>
          <w:i/>
        </w:rPr>
        <w:t xml:space="preserve"> </w:t>
      </w:r>
      <w:r w:rsidR="00050D54">
        <w:rPr>
          <w:i/>
        </w:rPr>
        <w:t>v</w:t>
      </w:r>
      <w:r w:rsidR="00050D54" w:rsidRPr="00050D54">
        <w:rPr>
          <w:i/>
        </w:rPr>
        <w:t xml:space="preserve"> Slough Borough Council</w:t>
      </w:r>
      <w:r w:rsidR="00050D54">
        <w:t xml:space="preserve"> </w:t>
      </w:r>
      <w:r>
        <w:t xml:space="preserve"> decided in the High Court in April 2019 the Court considered </w:t>
      </w:r>
      <w:r w:rsidR="00DD5166">
        <w:t>the B</w:t>
      </w:r>
      <w:r>
        <w:t xml:space="preserve">orough Council’s resolution to </w:t>
      </w:r>
      <w:r w:rsidR="00686221">
        <w:t>abolish</w:t>
      </w:r>
      <w:r>
        <w:t xml:space="preserve"> (rather than create) two parish councils. </w:t>
      </w:r>
      <w:r w:rsidR="00CD6324">
        <w:t xml:space="preserve">While the Council </w:t>
      </w:r>
      <w:r w:rsidR="002250D7">
        <w:t xml:space="preserve">in that case </w:t>
      </w:r>
      <w:r w:rsidR="00CD6324">
        <w:t xml:space="preserve">had erred in its interpretation of the Guidance in relation to abolishing a parish </w:t>
      </w:r>
      <w:r w:rsidR="00F97CF3">
        <w:t>c</w:t>
      </w:r>
      <w:r w:rsidR="00CD6324">
        <w:t>ouncil which is not relevant to the decision before</w:t>
      </w:r>
      <w:r w:rsidR="002250D7">
        <w:t xml:space="preserve"> this</w:t>
      </w:r>
      <w:r w:rsidR="00CD6324">
        <w:t xml:space="preserve"> Council</w:t>
      </w:r>
      <w:r w:rsidR="002250D7">
        <w:t>,</w:t>
      </w:r>
      <w:r w:rsidR="00CD6324">
        <w:t xml:space="preserve"> the Judge highlighted the importance of considering accurately the outcome of consultation and </w:t>
      </w:r>
      <w:r w:rsidR="00F97CF3">
        <w:t xml:space="preserve">the case </w:t>
      </w:r>
      <w:r w:rsidR="00CD6324">
        <w:t>referred to paragraph 50 of the Guidance</w:t>
      </w:r>
      <w:r w:rsidR="002250D7">
        <w:t xml:space="preserve"> which identifies that when considering and defining a parish council</w:t>
      </w:r>
      <w:r w:rsidR="00CD6324">
        <w:t xml:space="preserve"> </w:t>
      </w:r>
      <w:r w:rsidR="002250D7">
        <w:t>“the views of local communities and inhabitants are of central importance”</w:t>
      </w:r>
      <w:r>
        <w:t xml:space="preserve"> </w:t>
      </w:r>
    </w:p>
    <w:p w14:paraId="5ECFD6F0" w14:textId="75AC6CFC" w:rsidR="00C80B30" w:rsidRDefault="00925EE4" w:rsidP="008E035A">
      <w:pPr>
        <w:pStyle w:val="bParagraphtext"/>
      </w:pPr>
      <w:r>
        <w:t>Should Council agree to create the new community council then an Order would be drawn up</w:t>
      </w:r>
      <w:r w:rsidR="00CA66CC">
        <w:t>, under s86 of the Act,</w:t>
      </w:r>
      <w:r>
        <w:t xml:space="preserve"> and put to</w:t>
      </w:r>
      <w:r w:rsidR="00CA66CC">
        <w:t xml:space="preserve"> a future meeting of</w:t>
      </w:r>
      <w:r>
        <w:t xml:space="preserve"> Council</w:t>
      </w:r>
      <w:r w:rsidR="00CA66CC">
        <w:t xml:space="preserve"> to approve. This would </w:t>
      </w:r>
      <w:r w:rsidR="000C42E5">
        <w:t>confirm the</w:t>
      </w:r>
      <w:r w:rsidR="00CA66CC">
        <w:t xml:space="preserve"> name of the new council, total number of councillors, the ward structure and various other matters. The ward structure would be dictated by the City Council wards and the number of councillors would be</w:t>
      </w:r>
      <w:r w:rsidR="000C42E5">
        <w:t xml:space="preserve"> decided on and allocated to each parish ward</w:t>
      </w:r>
      <w:r w:rsidR="00CA66CC">
        <w:t xml:space="preserve"> after consultation with </w:t>
      </w:r>
      <w:r w:rsidR="00460DE8">
        <w:t>the councillors’ C</w:t>
      </w:r>
      <w:r w:rsidR="00DD5166">
        <w:t xml:space="preserve">ommunity </w:t>
      </w:r>
      <w:r w:rsidR="00460DE8">
        <w:t>G</w:t>
      </w:r>
      <w:r w:rsidR="00DD5166">
        <w:t xml:space="preserve">overnance </w:t>
      </w:r>
      <w:r w:rsidR="00460DE8">
        <w:t>R</w:t>
      </w:r>
      <w:r w:rsidR="00DD5166">
        <w:t>eview</w:t>
      </w:r>
      <w:r w:rsidR="00460DE8">
        <w:t xml:space="preserve"> Working Group and </w:t>
      </w:r>
      <w:r w:rsidR="00CA66CC">
        <w:t>the Headington Forum.</w:t>
      </w:r>
    </w:p>
    <w:p w14:paraId="30CA5416" w14:textId="72DE067D" w:rsidR="00C80B30" w:rsidRDefault="00C80B30" w:rsidP="008E035A">
      <w:pPr>
        <w:pStyle w:val="Heading1"/>
      </w:pPr>
      <w:r w:rsidRPr="005F5606">
        <w:t>Equalities Impact Assessment</w:t>
      </w:r>
    </w:p>
    <w:p w14:paraId="05A95A3A" w14:textId="70D4D192" w:rsidR="00F27BA3" w:rsidRPr="00F27BA3" w:rsidRDefault="00C80B30" w:rsidP="008E035A">
      <w:pPr>
        <w:pStyle w:val="bParagraphtext"/>
      </w:pPr>
      <w:r>
        <w:t xml:space="preserve">The Council is obliged to </w:t>
      </w:r>
      <w:r w:rsidR="00FF3B7A" w:rsidRPr="00FF3B7A">
        <w:t>assess the likely impact of</w:t>
      </w:r>
      <w:r w:rsidR="00FF3B7A">
        <w:t xml:space="preserve"> any policy decision</w:t>
      </w:r>
      <w:r w:rsidR="00FF3B7A" w:rsidRPr="00FF3B7A">
        <w:t xml:space="preserve"> on particular groups (now classed as groups with protected characteristics under the Equality Act 2010</w:t>
      </w:r>
      <w:r w:rsidR="00FF3B7A">
        <w:t xml:space="preserve">). </w:t>
      </w:r>
      <w:r w:rsidR="00F27BA3" w:rsidRPr="00F27BA3">
        <w:t xml:space="preserve">The Public sector equality duty (s.149 of the Equality Act 2010) </w:t>
      </w:r>
      <w:r w:rsidR="00F27BA3">
        <w:t>requires that</w:t>
      </w:r>
      <w:r w:rsidR="00F27BA3" w:rsidRPr="00F27BA3">
        <w:t xml:space="preserve"> </w:t>
      </w:r>
      <w:r w:rsidR="00F27BA3">
        <w:t>the Council is</w:t>
      </w:r>
      <w:r w:rsidR="00F27BA3" w:rsidRPr="00F27BA3">
        <w:t xml:space="preserve"> required, in carrying out their functions, to have due regard to the need to:</w:t>
      </w:r>
    </w:p>
    <w:p w14:paraId="3EB2C453" w14:textId="0F10364D" w:rsidR="00F27BA3" w:rsidRPr="00F27BA3" w:rsidRDefault="00F27BA3" w:rsidP="008E035A">
      <w:pPr>
        <w:pStyle w:val="Bulletpoints"/>
        <w:numPr>
          <w:ilvl w:val="0"/>
          <w:numId w:val="0"/>
        </w:numPr>
        <w:ind w:left="993"/>
      </w:pPr>
      <w:r w:rsidRPr="00F27BA3">
        <w:t xml:space="preserve">(a) </w:t>
      </w:r>
      <w:proofErr w:type="gramStart"/>
      <w:r w:rsidRPr="00F27BA3">
        <w:t>eliminate</w:t>
      </w:r>
      <w:proofErr w:type="gramEnd"/>
      <w:r w:rsidRPr="00F27BA3">
        <w:t xml:space="preserve"> discrimination, harassment, victimisation and any other conduct that is prohibited by or under the Equality Act 2010;</w:t>
      </w:r>
    </w:p>
    <w:p w14:paraId="24511612" w14:textId="7BFFD30E" w:rsidR="00F27BA3" w:rsidRPr="00F27BA3" w:rsidRDefault="00F27BA3" w:rsidP="008E035A">
      <w:pPr>
        <w:pStyle w:val="Bulletpoints"/>
        <w:numPr>
          <w:ilvl w:val="0"/>
          <w:numId w:val="0"/>
        </w:numPr>
        <w:ind w:left="993"/>
      </w:pPr>
      <w:r w:rsidRPr="00F27BA3">
        <w:t xml:space="preserve">(b) </w:t>
      </w:r>
      <w:proofErr w:type="gramStart"/>
      <w:r w:rsidRPr="00F27BA3">
        <w:t>advance</w:t>
      </w:r>
      <w:proofErr w:type="gramEnd"/>
      <w:r w:rsidRPr="00F27BA3">
        <w:t xml:space="preserve"> equality of opportunity between persons who share a relevant protected characteristic and persons who do not share it;</w:t>
      </w:r>
    </w:p>
    <w:p w14:paraId="7F1E31C6" w14:textId="77777777" w:rsidR="00F27BA3" w:rsidRDefault="00F27BA3" w:rsidP="008E035A">
      <w:pPr>
        <w:pStyle w:val="Bulletpoints"/>
        <w:numPr>
          <w:ilvl w:val="0"/>
          <w:numId w:val="0"/>
        </w:numPr>
        <w:ind w:left="993"/>
      </w:pPr>
      <w:r w:rsidRPr="00F27BA3">
        <w:t xml:space="preserve">(c) </w:t>
      </w:r>
      <w:proofErr w:type="gramStart"/>
      <w:r w:rsidRPr="00F27BA3">
        <w:t>foster</w:t>
      </w:r>
      <w:proofErr w:type="gramEnd"/>
      <w:r w:rsidRPr="00F27BA3">
        <w:t xml:space="preserve"> good relations between persons who share a relevant protected characteristic and persons who do not share it.</w:t>
      </w:r>
    </w:p>
    <w:p w14:paraId="65767B18" w14:textId="1A0405D3" w:rsidR="00C80B30" w:rsidRPr="005F5606" w:rsidRDefault="00FF3B7A" w:rsidP="008E035A">
      <w:pPr>
        <w:pStyle w:val="bParagraphtext"/>
        <w:rPr>
          <w:sz w:val="23"/>
          <w:szCs w:val="23"/>
        </w:rPr>
      </w:pPr>
      <w:r w:rsidRPr="008E035A">
        <w:rPr>
          <w:rStyle w:val="BulletpointsChar"/>
        </w:rPr>
        <w:t>The Council has had due regard to equality considerations</w:t>
      </w:r>
      <w:r w:rsidR="00F27BA3" w:rsidRPr="008E035A">
        <w:rPr>
          <w:rStyle w:val="BulletpointsChar"/>
        </w:rPr>
        <w:t xml:space="preserve"> and </w:t>
      </w:r>
      <w:r w:rsidR="007F7751" w:rsidRPr="008E035A">
        <w:rPr>
          <w:rStyle w:val="BulletpointsChar"/>
        </w:rPr>
        <w:t>consider</w:t>
      </w:r>
      <w:r w:rsidRPr="008E035A">
        <w:rPr>
          <w:rStyle w:val="BulletpointsChar"/>
        </w:rPr>
        <w:t>ed whether there would be an impact,</w:t>
      </w:r>
      <w:r w:rsidR="007F7751" w:rsidRPr="008E035A">
        <w:rPr>
          <w:rStyle w:val="BulletpointsChar"/>
        </w:rPr>
        <w:t xml:space="preserve"> </w:t>
      </w:r>
      <w:r w:rsidRPr="008E035A">
        <w:rPr>
          <w:rStyle w:val="BulletpointsChar"/>
        </w:rPr>
        <w:t>either negative or positive, as a result of the governance review</w:t>
      </w:r>
      <w:r w:rsidR="00F27BA3" w:rsidRPr="008E035A">
        <w:rPr>
          <w:rStyle w:val="BulletpointsChar"/>
        </w:rPr>
        <w:t>. The Council</w:t>
      </w:r>
      <w:r w:rsidRPr="008E035A">
        <w:rPr>
          <w:rStyle w:val="BulletpointsChar"/>
        </w:rPr>
        <w:t xml:space="preserve"> has </w:t>
      </w:r>
      <w:r w:rsidR="00F27BA3" w:rsidRPr="008E035A">
        <w:rPr>
          <w:rStyle w:val="BulletpointsChar"/>
        </w:rPr>
        <w:t>concluded</w:t>
      </w:r>
      <w:r w:rsidRPr="008E035A">
        <w:rPr>
          <w:rStyle w:val="BulletpointsChar"/>
        </w:rPr>
        <w:t xml:space="preserve"> that there would be no differential impact on any group</w:t>
      </w:r>
      <w:r w:rsidR="00F27BA3" w:rsidRPr="008E035A">
        <w:rPr>
          <w:rStyle w:val="BulletpointsChar"/>
        </w:rPr>
        <w:t xml:space="preserve"> as a result of its decision about whether or not to create a community council for the Headington area</w:t>
      </w:r>
      <w:r w:rsidRPr="008E035A">
        <w:rPr>
          <w:rStyle w:val="BulletpointsChar"/>
        </w:rPr>
        <w:t>.</w:t>
      </w:r>
    </w:p>
    <w:p w14:paraId="3843F5BF" w14:textId="1697AC4A" w:rsidR="00C14937" w:rsidRPr="00730092" w:rsidRDefault="00730092" w:rsidP="008E035A">
      <w:pPr>
        <w:pStyle w:val="Heading1"/>
      </w:pPr>
      <w:r w:rsidRPr="00730092">
        <w:t>Recommendation</w:t>
      </w:r>
    </w:p>
    <w:p w14:paraId="66D5EF23" w14:textId="551C655C" w:rsidR="00C14937" w:rsidRPr="008E035A" w:rsidRDefault="00730092" w:rsidP="008E035A">
      <w:pPr>
        <w:pStyle w:val="bParagraphtext"/>
        <w:rPr>
          <w:rStyle w:val="BulletpointsChar"/>
        </w:rPr>
      </w:pPr>
      <w:r w:rsidRPr="008E035A">
        <w:rPr>
          <w:rStyle w:val="BulletpointsChar"/>
        </w:rPr>
        <w:t>Council is requested to decide, following the results</w:t>
      </w:r>
      <w:r w:rsidR="005354EA" w:rsidRPr="008E035A">
        <w:rPr>
          <w:rStyle w:val="BulletpointsChar"/>
        </w:rPr>
        <w:t xml:space="preserve"> of the consultation undertaken, </w:t>
      </w:r>
      <w:r w:rsidRPr="008E035A">
        <w:rPr>
          <w:rStyle w:val="BulletpointsChar"/>
        </w:rPr>
        <w:t>statutory guidance</w:t>
      </w:r>
      <w:r w:rsidR="005354EA" w:rsidRPr="008E035A">
        <w:rPr>
          <w:rStyle w:val="BulletpointsChar"/>
        </w:rPr>
        <w:t xml:space="preserve"> and the Working Group recommendations</w:t>
      </w:r>
      <w:r w:rsidRPr="008E035A">
        <w:rPr>
          <w:rStyle w:val="BulletpointsChar"/>
        </w:rPr>
        <w:t>, whether or not to create a community council for the Headington area.</w:t>
      </w:r>
    </w:p>
    <w:p w14:paraId="287DE47D" w14:textId="1AFD1733" w:rsidR="002329CF" w:rsidRDefault="002329CF" w:rsidP="008E035A">
      <w:pPr>
        <w:pStyle w:val="bParagraphtext"/>
        <w:numPr>
          <w:ilvl w:val="0"/>
          <w:numId w:val="0"/>
        </w:numPr>
      </w:pPr>
    </w:p>
    <w:p w14:paraId="0EE891BE" w14:textId="77777777" w:rsidR="00EB447F" w:rsidRDefault="00EB447F" w:rsidP="008E035A">
      <w:pPr>
        <w:pStyle w:val="bParagraphtext"/>
        <w:numPr>
          <w:ilvl w:val="0"/>
          <w:numId w:val="0"/>
        </w:numPr>
      </w:pPr>
    </w:p>
    <w:p w14:paraId="0B2BD036" w14:textId="77777777" w:rsidR="00EB447F" w:rsidRPr="001356F1" w:rsidRDefault="00EB447F" w:rsidP="008E035A">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7E9DA1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0B358D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B640A3E" w14:textId="77777777" w:rsidR="00E87F7A" w:rsidRPr="001356F1" w:rsidRDefault="001B0EDD" w:rsidP="00A46E98">
            <w:r>
              <w:t>Martin John</w:t>
            </w:r>
          </w:p>
        </w:tc>
      </w:tr>
      <w:tr w:rsidR="00DF093E" w:rsidRPr="001356F1" w14:paraId="751FDC0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5FB8F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0486A3A" w14:textId="77777777" w:rsidR="00E87F7A" w:rsidRPr="001356F1" w:rsidRDefault="001B0EDD" w:rsidP="00A46E98">
            <w:r>
              <w:t>Electoral Services Manager</w:t>
            </w:r>
          </w:p>
        </w:tc>
      </w:tr>
      <w:tr w:rsidR="00DF093E" w:rsidRPr="001356F1" w14:paraId="55BA271E" w14:textId="77777777" w:rsidTr="00A46E98">
        <w:trPr>
          <w:cantSplit/>
          <w:trHeight w:val="396"/>
        </w:trPr>
        <w:tc>
          <w:tcPr>
            <w:tcW w:w="3969" w:type="dxa"/>
            <w:tcBorders>
              <w:top w:val="nil"/>
              <w:left w:val="single" w:sz="8" w:space="0" w:color="000000"/>
              <w:bottom w:val="nil"/>
              <w:right w:val="nil"/>
            </w:tcBorders>
            <w:shd w:val="clear" w:color="auto" w:fill="auto"/>
          </w:tcPr>
          <w:p w14:paraId="6249ECA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908127D" w14:textId="77777777" w:rsidR="00E87F7A" w:rsidRPr="001356F1" w:rsidRDefault="001B0EDD" w:rsidP="00A46E98">
            <w:r>
              <w:t>Law and Governance</w:t>
            </w:r>
          </w:p>
        </w:tc>
      </w:tr>
      <w:tr w:rsidR="00DF093E" w:rsidRPr="001356F1" w14:paraId="0746BD25" w14:textId="77777777" w:rsidTr="00A46E98">
        <w:trPr>
          <w:cantSplit/>
          <w:trHeight w:val="396"/>
        </w:trPr>
        <w:tc>
          <w:tcPr>
            <w:tcW w:w="3969" w:type="dxa"/>
            <w:tcBorders>
              <w:top w:val="nil"/>
              <w:left w:val="single" w:sz="8" w:space="0" w:color="000000"/>
              <w:bottom w:val="nil"/>
              <w:right w:val="nil"/>
            </w:tcBorders>
            <w:shd w:val="clear" w:color="auto" w:fill="auto"/>
          </w:tcPr>
          <w:p w14:paraId="617B7E5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9AAC4A4" w14:textId="77777777" w:rsidR="00E87F7A" w:rsidRPr="001356F1" w:rsidRDefault="00E87F7A" w:rsidP="001B0EDD">
            <w:r w:rsidRPr="001356F1">
              <w:t xml:space="preserve">01865 </w:t>
            </w:r>
            <w:r w:rsidR="001B0EDD">
              <w:t>252518</w:t>
            </w:r>
            <w:r w:rsidRPr="001356F1">
              <w:t xml:space="preserve"> </w:t>
            </w:r>
          </w:p>
        </w:tc>
      </w:tr>
      <w:tr w:rsidR="005570B5" w:rsidRPr="001356F1" w14:paraId="7C26E5B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FD2E7B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90F546F" w14:textId="77777777" w:rsidR="00E87F7A" w:rsidRPr="001356F1" w:rsidRDefault="001B0EDD" w:rsidP="00A46E98">
            <w:pPr>
              <w:rPr>
                <w:rStyle w:val="Hyperlink"/>
                <w:color w:val="000000"/>
              </w:rPr>
            </w:pPr>
            <w:r>
              <w:rPr>
                <w:rStyle w:val="Hyperlink"/>
                <w:color w:val="000000"/>
              </w:rPr>
              <w:t>mjohn@oxford.gov.uk</w:t>
            </w:r>
          </w:p>
        </w:tc>
      </w:tr>
    </w:tbl>
    <w:p w14:paraId="7B476A9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97754C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DD0AC85" w14:textId="43C69589" w:rsidR="0093067A" w:rsidRPr="001356F1" w:rsidRDefault="00182B81" w:rsidP="006F44CE">
            <w:r w:rsidRPr="001356F1">
              <w:rPr>
                <w:rStyle w:val="Firstpagetablebold"/>
              </w:rPr>
              <w:t xml:space="preserve">Background Papers: </w:t>
            </w:r>
            <w:r w:rsidR="006F44CE">
              <w:rPr>
                <w:rStyle w:val="Firstpagetablebold"/>
                <w:b w:val="0"/>
              </w:rPr>
              <w:t>The table of the textual responses to the consultation</w:t>
            </w:r>
          </w:p>
        </w:tc>
      </w:tr>
    </w:tbl>
    <w:p w14:paraId="361E3AC7" w14:textId="77777777"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8CDA" w14:textId="77777777" w:rsidR="00044103" w:rsidRDefault="00044103" w:rsidP="004A6D2F">
      <w:r>
        <w:separator/>
      </w:r>
    </w:p>
  </w:endnote>
  <w:endnote w:type="continuationSeparator" w:id="0">
    <w:p w14:paraId="58E30896" w14:textId="77777777" w:rsidR="00044103" w:rsidRDefault="0004410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9D1C" w14:textId="77777777" w:rsidR="00044103" w:rsidRDefault="00044103" w:rsidP="004A6D2F">
    <w:pPr>
      <w:pStyle w:val="Footer"/>
    </w:pPr>
    <w:r>
      <w:t>Do not use a footer or page numbers.</w:t>
    </w:r>
  </w:p>
  <w:p w14:paraId="49B4295B" w14:textId="77777777" w:rsidR="00044103" w:rsidRDefault="00044103" w:rsidP="004A6D2F">
    <w:pPr>
      <w:pStyle w:val="Footer"/>
    </w:pPr>
  </w:p>
  <w:p w14:paraId="1FA352B1" w14:textId="77777777" w:rsidR="00044103" w:rsidRDefault="000441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FD91" w14:textId="77777777" w:rsidR="00044103" w:rsidRDefault="000441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6702" w14:textId="77777777" w:rsidR="00044103" w:rsidRDefault="00044103" w:rsidP="004A6D2F">
      <w:r>
        <w:separator/>
      </w:r>
    </w:p>
  </w:footnote>
  <w:footnote w:type="continuationSeparator" w:id="0">
    <w:p w14:paraId="78B15870" w14:textId="77777777" w:rsidR="00044103" w:rsidRDefault="0004410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40A7" w14:textId="4EC4EED0" w:rsidR="00044103" w:rsidRDefault="0004410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37D0"/>
    <w:multiLevelType w:val="hybridMultilevel"/>
    <w:tmpl w:val="7E503A22"/>
    <w:lvl w:ilvl="0" w:tplc="0809000F">
      <w:start w:val="1"/>
      <w:numFmt w:val="decimal"/>
      <w:lvlText w:val="%1."/>
      <w:lvlJc w:val="left"/>
      <w:pPr>
        <w:ind w:left="1353"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9760A7"/>
    <w:multiLevelType w:val="hybridMultilevel"/>
    <w:tmpl w:val="6514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F47B0E"/>
    <w:multiLevelType w:val="hybridMultilevel"/>
    <w:tmpl w:val="5A7A71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99B67A4"/>
    <w:multiLevelType w:val="multilevel"/>
    <w:tmpl w:val="BAFC0DD2"/>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83DED"/>
    <w:multiLevelType w:val="hybridMultilevel"/>
    <w:tmpl w:val="BC72E3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16039E"/>
    <w:multiLevelType w:val="hybridMultilevel"/>
    <w:tmpl w:val="C1682322"/>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6D0023"/>
    <w:multiLevelType w:val="hybridMultilevel"/>
    <w:tmpl w:val="A192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60565F"/>
    <w:multiLevelType w:val="hybridMultilevel"/>
    <w:tmpl w:val="7752E9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C73891"/>
    <w:multiLevelType w:val="hybridMultilevel"/>
    <w:tmpl w:val="984AC77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BA5FD8"/>
    <w:multiLevelType w:val="multilevel"/>
    <w:tmpl w:val="43D6D2FA"/>
    <w:numStyleLink w:val="StyleBulletedSymbolsymbolLeft063cmHanging063cm"/>
  </w:abstractNum>
  <w:abstractNum w:abstractNumId="36"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7BA1F8D"/>
    <w:multiLevelType w:val="hybridMultilevel"/>
    <w:tmpl w:val="BE2634C4"/>
    <w:lvl w:ilvl="0" w:tplc="08090003">
      <w:start w:val="1"/>
      <w:numFmt w:val="bullet"/>
      <w:lvlText w:val="o"/>
      <w:lvlJc w:val="left"/>
      <w:pPr>
        <w:ind w:left="1778" w:hanging="360"/>
      </w:pPr>
      <w:rPr>
        <w:rFonts w:ascii="Courier New" w:hAnsi="Courier New" w:cs="Courier New"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8365C6"/>
    <w:multiLevelType w:val="multilevel"/>
    <w:tmpl w:val="E67CE66C"/>
    <w:numStyleLink w:val="StyleNumberedLeft0cmHanging075cm"/>
  </w:abstractNum>
  <w:num w:numId="1">
    <w:abstractNumId w:val="34"/>
  </w:num>
  <w:num w:numId="2">
    <w:abstractNumId w:val="40"/>
  </w:num>
  <w:num w:numId="3">
    <w:abstractNumId w:val="29"/>
  </w:num>
  <w:num w:numId="4">
    <w:abstractNumId w:val="22"/>
  </w:num>
  <w:num w:numId="5">
    <w:abstractNumId w:val="36"/>
  </w:num>
  <w:num w:numId="6">
    <w:abstractNumId w:val="41"/>
  </w:num>
  <w:num w:numId="7">
    <w:abstractNumId w:val="28"/>
  </w:num>
  <w:num w:numId="8">
    <w:abstractNumId w:val="25"/>
  </w:num>
  <w:num w:numId="9">
    <w:abstractNumId w:val="15"/>
  </w:num>
  <w:num w:numId="10">
    <w:abstractNumId w:val="18"/>
  </w:num>
  <w:num w:numId="11">
    <w:abstractNumId w:val="32"/>
  </w:num>
  <w:num w:numId="12">
    <w:abstractNumId w:val="30"/>
  </w:num>
  <w:num w:numId="13">
    <w:abstractNumId w:val="11"/>
  </w:num>
  <w:num w:numId="14">
    <w:abstractNumId w:val="42"/>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9"/>
  </w:num>
  <w:num w:numId="16">
    <w:abstractNumId w:val="13"/>
  </w:num>
  <w:num w:numId="17">
    <w:abstractNumId w:val="35"/>
  </w:num>
  <w:num w:numId="18">
    <w:abstractNumId w:val="14"/>
  </w:num>
  <w:num w:numId="19">
    <w:abstractNumId w:val="37"/>
  </w:num>
  <w:num w:numId="20">
    <w:abstractNumId w:val="20"/>
  </w:num>
  <w:num w:numId="21">
    <w:abstractNumId w:val="27"/>
  </w:num>
  <w:num w:numId="22">
    <w:abstractNumId w:val="16"/>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6"/>
  </w:num>
  <w:num w:numId="36">
    <w:abstractNumId w:val="21"/>
  </w:num>
  <w:num w:numId="37">
    <w:abstractNumId w:val="31"/>
  </w:num>
  <w:num w:numId="38">
    <w:abstractNumId w:val="17"/>
  </w:num>
  <w:num w:numId="39">
    <w:abstractNumId w:val="23"/>
  </w:num>
  <w:num w:numId="40">
    <w:abstractNumId w:val="10"/>
  </w:num>
  <w:num w:numId="41">
    <w:abstractNumId w:val="24"/>
  </w:num>
  <w:num w:numId="42">
    <w:abstractNumId w:val="38"/>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22"/>
    <w:rsid w:val="000117D4"/>
    <w:rsid w:val="000314D7"/>
    <w:rsid w:val="00044103"/>
    <w:rsid w:val="00045F8B"/>
    <w:rsid w:val="00046D2B"/>
    <w:rsid w:val="00050D54"/>
    <w:rsid w:val="00056263"/>
    <w:rsid w:val="00064D8A"/>
    <w:rsid w:val="00064F82"/>
    <w:rsid w:val="00066510"/>
    <w:rsid w:val="0007630A"/>
    <w:rsid w:val="00077523"/>
    <w:rsid w:val="000877F2"/>
    <w:rsid w:val="00094291"/>
    <w:rsid w:val="000A50AF"/>
    <w:rsid w:val="000C089F"/>
    <w:rsid w:val="000C3928"/>
    <w:rsid w:val="000C42E5"/>
    <w:rsid w:val="000C5E8E"/>
    <w:rsid w:val="000D2ED6"/>
    <w:rsid w:val="000E373D"/>
    <w:rsid w:val="000F4751"/>
    <w:rsid w:val="0010524C"/>
    <w:rsid w:val="00111FB1"/>
    <w:rsid w:val="00113418"/>
    <w:rsid w:val="0011454D"/>
    <w:rsid w:val="001356F1"/>
    <w:rsid w:val="00136994"/>
    <w:rsid w:val="0014128E"/>
    <w:rsid w:val="001427F1"/>
    <w:rsid w:val="00147D0E"/>
    <w:rsid w:val="00151888"/>
    <w:rsid w:val="00163A03"/>
    <w:rsid w:val="001705FC"/>
    <w:rsid w:val="00170A2D"/>
    <w:rsid w:val="001808BC"/>
    <w:rsid w:val="00182B81"/>
    <w:rsid w:val="00183507"/>
    <w:rsid w:val="0018619D"/>
    <w:rsid w:val="001A011E"/>
    <w:rsid w:val="001A066A"/>
    <w:rsid w:val="001A13E6"/>
    <w:rsid w:val="001A276A"/>
    <w:rsid w:val="001A45BF"/>
    <w:rsid w:val="001A5731"/>
    <w:rsid w:val="001B0EDD"/>
    <w:rsid w:val="001B42C3"/>
    <w:rsid w:val="001C5D5E"/>
    <w:rsid w:val="001D519F"/>
    <w:rsid w:val="001D678D"/>
    <w:rsid w:val="001E03F8"/>
    <w:rsid w:val="001E1678"/>
    <w:rsid w:val="001E3376"/>
    <w:rsid w:val="001E3A53"/>
    <w:rsid w:val="002069B3"/>
    <w:rsid w:val="00213946"/>
    <w:rsid w:val="00216CA1"/>
    <w:rsid w:val="002250D7"/>
    <w:rsid w:val="0023237F"/>
    <w:rsid w:val="002329CF"/>
    <w:rsid w:val="00232F5B"/>
    <w:rsid w:val="00236BFF"/>
    <w:rsid w:val="00243C2F"/>
    <w:rsid w:val="00247C29"/>
    <w:rsid w:val="00254548"/>
    <w:rsid w:val="00260467"/>
    <w:rsid w:val="0026278D"/>
    <w:rsid w:val="00263EA3"/>
    <w:rsid w:val="002735A1"/>
    <w:rsid w:val="0028497F"/>
    <w:rsid w:val="00284F85"/>
    <w:rsid w:val="00290915"/>
    <w:rsid w:val="0029383D"/>
    <w:rsid w:val="002950E2"/>
    <w:rsid w:val="002A22E2"/>
    <w:rsid w:val="002C425C"/>
    <w:rsid w:val="002C64F7"/>
    <w:rsid w:val="002D4237"/>
    <w:rsid w:val="002E2261"/>
    <w:rsid w:val="002E33FA"/>
    <w:rsid w:val="002E7084"/>
    <w:rsid w:val="002F41F2"/>
    <w:rsid w:val="00301BF3"/>
    <w:rsid w:val="0030208D"/>
    <w:rsid w:val="003070EF"/>
    <w:rsid w:val="00323418"/>
    <w:rsid w:val="00323F55"/>
    <w:rsid w:val="00330CA5"/>
    <w:rsid w:val="003336FC"/>
    <w:rsid w:val="003357BF"/>
    <w:rsid w:val="00345823"/>
    <w:rsid w:val="00351664"/>
    <w:rsid w:val="00353148"/>
    <w:rsid w:val="003560EC"/>
    <w:rsid w:val="003574C9"/>
    <w:rsid w:val="00364FAD"/>
    <w:rsid w:val="0036738F"/>
    <w:rsid w:val="0036759C"/>
    <w:rsid w:val="00367AE5"/>
    <w:rsid w:val="00367D71"/>
    <w:rsid w:val="00374583"/>
    <w:rsid w:val="0038150A"/>
    <w:rsid w:val="00390C33"/>
    <w:rsid w:val="003B6645"/>
    <w:rsid w:val="003B6E75"/>
    <w:rsid w:val="003B7DA1"/>
    <w:rsid w:val="003C275B"/>
    <w:rsid w:val="003C4F83"/>
    <w:rsid w:val="003D0379"/>
    <w:rsid w:val="003D2574"/>
    <w:rsid w:val="003D4C59"/>
    <w:rsid w:val="003D6999"/>
    <w:rsid w:val="003E57A4"/>
    <w:rsid w:val="003F058E"/>
    <w:rsid w:val="003F4267"/>
    <w:rsid w:val="00404032"/>
    <w:rsid w:val="004042ED"/>
    <w:rsid w:val="0040736F"/>
    <w:rsid w:val="00412C1F"/>
    <w:rsid w:val="00417AF6"/>
    <w:rsid w:val="00421CB2"/>
    <w:rsid w:val="004268B9"/>
    <w:rsid w:val="00433B25"/>
    <w:rsid w:val="00433B96"/>
    <w:rsid w:val="00437262"/>
    <w:rsid w:val="004440F1"/>
    <w:rsid w:val="004456DD"/>
    <w:rsid w:val="00446CDF"/>
    <w:rsid w:val="004521B7"/>
    <w:rsid w:val="00452EA8"/>
    <w:rsid w:val="00460DE8"/>
    <w:rsid w:val="00462AB5"/>
    <w:rsid w:val="00465EAF"/>
    <w:rsid w:val="004738C5"/>
    <w:rsid w:val="00474F0C"/>
    <w:rsid w:val="004758B2"/>
    <w:rsid w:val="0047730A"/>
    <w:rsid w:val="00487872"/>
    <w:rsid w:val="00491046"/>
    <w:rsid w:val="00491412"/>
    <w:rsid w:val="0049670C"/>
    <w:rsid w:val="004977DD"/>
    <w:rsid w:val="004A27C0"/>
    <w:rsid w:val="004A2AC7"/>
    <w:rsid w:val="004A4FDC"/>
    <w:rsid w:val="004A6D2F"/>
    <w:rsid w:val="004C2887"/>
    <w:rsid w:val="004C4E45"/>
    <w:rsid w:val="004C64A5"/>
    <w:rsid w:val="004D2626"/>
    <w:rsid w:val="004D6E26"/>
    <w:rsid w:val="004D76F9"/>
    <w:rsid w:val="004D77D3"/>
    <w:rsid w:val="004E2959"/>
    <w:rsid w:val="004F20EF"/>
    <w:rsid w:val="0050321C"/>
    <w:rsid w:val="0052263C"/>
    <w:rsid w:val="005334B6"/>
    <w:rsid w:val="005354EA"/>
    <w:rsid w:val="0054712D"/>
    <w:rsid w:val="00547EF6"/>
    <w:rsid w:val="00551B58"/>
    <w:rsid w:val="005570B5"/>
    <w:rsid w:val="0056413F"/>
    <w:rsid w:val="00567E18"/>
    <w:rsid w:val="00575F5F"/>
    <w:rsid w:val="0057775F"/>
    <w:rsid w:val="00581805"/>
    <w:rsid w:val="00583C42"/>
    <w:rsid w:val="00585F76"/>
    <w:rsid w:val="00594029"/>
    <w:rsid w:val="005955C3"/>
    <w:rsid w:val="005A34E4"/>
    <w:rsid w:val="005A3A27"/>
    <w:rsid w:val="005B17F2"/>
    <w:rsid w:val="005B7FB0"/>
    <w:rsid w:val="005C35A5"/>
    <w:rsid w:val="005C577C"/>
    <w:rsid w:val="005D0621"/>
    <w:rsid w:val="005D1E27"/>
    <w:rsid w:val="005D2A3E"/>
    <w:rsid w:val="005E022E"/>
    <w:rsid w:val="005E5215"/>
    <w:rsid w:val="005E73D7"/>
    <w:rsid w:val="005F5606"/>
    <w:rsid w:val="005F72EE"/>
    <w:rsid w:val="005F7F7E"/>
    <w:rsid w:val="006022F1"/>
    <w:rsid w:val="0060659E"/>
    <w:rsid w:val="00613322"/>
    <w:rsid w:val="00614693"/>
    <w:rsid w:val="00614ACD"/>
    <w:rsid w:val="00615A76"/>
    <w:rsid w:val="00621899"/>
    <w:rsid w:val="006230DC"/>
    <w:rsid w:val="00623C2F"/>
    <w:rsid w:val="00631B7F"/>
    <w:rsid w:val="00633578"/>
    <w:rsid w:val="00637068"/>
    <w:rsid w:val="00650811"/>
    <w:rsid w:val="00661D3E"/>
    <w:rsid w:val="00670F8D"/>
    <w:rsid w:val="00673939"/>
    <w:rsid w:val="00686221"/>
    <w:rsid w:val="00692627"/>
    <w:rsid w:val="006969E7"/>
    <w:rsid w:val="006A3643"/>
    <w:rsid w:val="006C2A29"/>
    <w:rsid w:val="006C64CF"/>
    <w:rsid w:val="006D17B1"/>
    <w:rsid w:val="006D4752"/>
    <w:rsid w:val="006D6853"/>
    <w:rsid w:val="006D708A"/>
    <w:rsid w:val="006E14C1"/>
    <w:rsid w:val="006E6388"/>
    <w:rsid w:val="006F0292"/>
    <w:rsid w:val="006F27FA"/>
    <w:rsid w:val="006F416B"/>
    <w:rsid w:val="006F44CE"/>
    <w:rsid w:val="006F519B"/>
    <w:rsid w:val="00713675"/>
    <w:rsid w:val="00715823"/>
    <w:rsid w:val="00730092"/>
    <w:rsid w:val="00737B93"/>
    <w:rsid w:val="00745BF0"/>
    <w:rsid w:val="00753A0C"/>
    <w:rsid w:val="007615FE"/>
    <w:rsid w:val="0076655C"/>
    <w:rsid w:val="007742DC"/>
    <w:rsid w:val="00791437"/>
    <w:rsid w:val="007B0C2C"/>
    <w:rsid w:val="007B278E"/>
    <w:rsid w:val="007C5C23"/>
    <w:rsid w:val="007C5E03"/>
    <w:rsid w:val="007E2A26"/>
    <w:rsid w:val="007E61B1"/>
    <w:rsid w:val="007F2348"/>
    <w:rsid w:val="007F7751"/>
    <w:rsid w:val="00803F07"/>
    <w:rsid w:val="0080749A"/>
    <w:rsid w:val="00813996"/>
    <w:rsid w:val="00821FB8"/>
    <w:rsid w:val="00822ACD"/>
    <w:rsid w:val="008272E4"/>
    <w:rsid w:val="00837297"/>
    <w:rsid w:val="00855C66"/>
    <w:rsid w:val="00871EE4"/>
    <w:rsid w:val="0087716D"/>
    <w:rsid w:val="008A6835"/>
    <w:rsid w:val="008B293F"/>
    <w:rsid w:val="008B7371"/>
    <w:rsid w:val="008C5E08"/>
    <w:rsid w:val="008D1741"/>
    <w:rsid w:val="008D3DDB"/>
    <w:rsid w:val="008E035A"/>
    <w:rsid w:val="008E286E"/>
    <w:rsid w:val="008E410F"/>
    <w:rsid w:val="008F3D97"/>
    <w:rsid w:val="008F573F"/>
    <w:rsid w:val="009031C3"/>
    <w:rsid w:val="009034EC"/>
    <w:rsid w:val="009105A5"/>
    <w:rsid w:val="009134D3"/>
    <w:rsid w:val="00925EE4"/>
    <w:rsid w:val="0093067A"/>
    <w:rsid w:val="00933EF4"/>
    <w:rsid w:val="00941C60"/>
    <w:rsid w:val="00945571"/>
    <w:rsid w:val="00954266"/>
    <w:rsid w:val="00966D42"/>
    <w:rsid w:val="00971689"/>
    <w:rsid w:val="00973E90"/>
    <w:rsid w:val="00975B07"/>
    <w:rsid w:val="00980B4A"/>
    <w:rsid w:val="00995A98"/>
    <w:rsid w:val="009A2719"/>
    <w:rsid w:val="009B75AA"/>
    <w:rsid w:val="009E3D0A"/>
    <w:rsid w:val="009E51FC"/>
    <w:rsid w:val="009E696A"/>
    <w:rsid w:val="009F1D28"/>
    <w:rsid w:val="009F5EE8"/>
    <w:rsid w:val="009F7618"/>
    <w:rsid w:val="00A04D23"/>
    <w:rsid w:val="00A051CC"/>
    <w:rsid w:val="00A06766"/>
    <w:rsid w:val="00A13765"/>
    <w:rsid w:val="00A21B12"/>
    <w:rsid w:val="00A23F80"/>
    <w:rsid w:val="00A37BCB"/>
    <w:rsid w:val="00A426F2"/>
    <w:rsid w:val="00A4348C"/>
    <w:rsid w:val="00A46E98"/>
    <w:rsid w:val="00A47430"/>
    <w:rsid w:val="00A613AD"/>
    <w:rsid w:val="00A6352B"/>
    <w:rsid w:val="00A701B5"/>
    <w:rsid w:val="00A714BB"/>
    <w:rsid w:val="00A84422"/>
    <w:rsid w:val="00A922EB"/>
    <w:rsid w:val="00A92D8F"/>
    <w:rsid w:val="00AA5786"/>
    <w:rsid w:val="00AA6BA9"/>
    <w:rsid w:val="00AB2988"/>
    <w:rsid w:val="00AB5CFA"/>
    <w:rsid w:val="00AB7999"/>
    <w:rsid w:val="00AC57A4"/>
    <w:rsid w:val="00AD1AD3"/>
    <w:rsid w:val="00AD3292"/>
    <w:rsid w:val="00AE7AF0"/>
    <w:rsid w:val="00AF0467"/>
    <w:rsid w:val="00AF5345"/>
    <w:rsid w:val="00B0032B"/>
    <w:rsid w:val="00B105F4"/>
    <w:rsid w:val="00B500CA"/>
    <w:rsid w:val="00B744C4"/>
    <w:rsid w:val="00B75541"/>
    <w:rsid w:val="00B860E3"/>
    <w:rsid w:val="00B86314"/>
    <w:rsid w:val="00BA1C2E"/>
    <w:rsid w:val="00BC200B"/>
    <w:rsid w:val="00BC4756"/>
    <w:rsid w:val="00BC69A4"/>
    <w:rsid w:val="00BD1BBE"/>
    <w:rsid w:val="00BD7680"/>
    <w:rsid w:val="00BE0680"/>
    <w:rsid w:val="00BE305F"/>
    <w:rsid w:val="00BE7BA3"/>
    <w:rsid w:val="00BF5682"/>
    <w:rsid w:val="00BF7B09"/>
    <w:rsid w:val="00C032D8"/>
    <w:rsid w:val="00C04DD4"/>
    <w:rsid w:val="00C14937"/>
    <w:rsid w:val="00C20689"/>
    <w:rsid w:val="00C20A95"/>
    <w:rsid w:val="00C2441C"/>
    <w:rsid w:val="00C2692F"/>
    <w:rsid w:val="00C3207C"/>
    <w:rsid w:val="00C33BDE"/>
    <w:rsid w:val="00C400E1"/>
    <w:rsid w:val="00C41187"/>
    <w:rsid w:val="00C426C2"/>
    <w:rsid w:val="00C53EB7"/>
    <w:rsid w:val="00C5572A"/>
    <w:rsid w:val="00C63C31"/>
    <w:rsid w:val="00C64BB6"/>
    <w:rsid w:val="00C70C27"/>
    <w:rsid w:val="00C726F7"/>
    <w:rsid w:val="00C7418E"/>
    <w:rsid w:val="00C757A0"/>
    <w:rsid w:val="00C760DE"/>
    <w:rsid w:val="00C80B30"/>
    <w:rsid w:val="00C82630"/>
    <w:rsid w:val="00C85B4E"/>
    <w:rsid w:val="00C90280"/>
    <w:rsid w:val="00C907F7"/>
    <w:rsid w:val="00CA2103"/>
    <w:rsid w:val="00CA36D5"/>
    <w:rsid w:val="00CA66CC"/>
    <w:rsid w:val="00CB2E83"/>
    <w:rsid w:val="00CB6B99"/>
    <w:rsid w:val="00CB73E6"/>
    <w:rsid w:val="00CD6324"/>
    <w:rsid w:val="00CE0C75"/>
    <w:rsid w:val="00CE0EA4"/>
    <w:rsid w:val="00CE4C87"/>
    <w:rsid w:val="00CE544A"/>
    <w:rsid w:val="00CF6B75"/>
    <w:rsid w:val="00D11E1C"/>
    <w:rsid w:val="00D12037"/>
    <w:rsid w:val="00D126C0"/>
    <w:rsid w:val="00D1350D"/>
    <w:rsid w:val="00D160B0"/>
    <w:rsid w:val="00D17F94"/>
    <w:rsid w:val="00D223FC"/>
    <w:rsid w:val="00D26D1E"/>
    <w:rsid w:val="00D474CF"/>
    <w:rsid w:val="00D5547E"/>
    <w:rsid w:val="00D62259"/>
    <w:rsid w:val="00D63969"/>
    <w:rsid w:val="00D644C8"/>
    <w:rsid w:val="00D80431"/>
    <w:rsid w:val="00D84BB4"/>
    <w:rsid w:val="00D869A1"/>
    <w:rsid w:val="00D978B9"/>
    <w:rsid w:val="00DA413F"/>
    <w:rsid w:val="00DA4584"/>
    <w:rsid w:val="00DA614B"/>
    <w:rsid w:val="00DA773A"/>
    <w:rsid w:val="00DC2E66"/>
    <w:rsid w:val="00DC3060"/>
    <w:rsid w:val="00DD5166"/>
    <w:rsid w:val="00DE0FB2"/>
    <w:rsid w:val="00DE737D"/>
    <w:rsid w:val="00DF093E"/>
    <w:rsid w:val="00E0021F"/>
    <w:rsid w:val="00E01F42"/>
    <w:rsid w:val="00E075BC"/>
    <w:rsid w:val="00E206D6"/>
    <w:rsid w:val="00E25553"/>
    <w:rsid w:val="00E3074A"/>
    <w:rsid w:val="00E33557"/>
    <w:rsid w:val="00E3366E"/>
    <w:rsid w:val="00E52086"/>
    <w:rsid w:val="00E53B3F"/>
    <w:rsid w:val="00E543A6"/>
    <w:rsid w:val="00E60479"/>
    <w:rsid w:val="00E61D73"/>
    <w:rsid w:val="00E733B9"/>
    <w:rsid w:val="00E73684"/>
    <w:rsid w:val="00E818D6"/>
    <w:rsid w:val="00E85128"/>
    <w:rsid w:val="00E87F7A"/>
    <w:rsid w:val="00E95E5F"/>
    <w:rsid w:val="00E96BD7"/>
    <w:rsid w:val="00EA0DB1"/>
    <w:rsid w:val="00EA0EE9"/>
    <w:rsid w:val="00EB447F"/>
    <w:rsid w:val="00EC1981"/>
    <w:rsid w:val="00EC30EA"/>
    <w:rsid w:val="00ED14EB"/>
    <w:rsid w:val="00ED3933"/>
    <w:rsid w:val="00ED52CA"/>
    <w:rsid w:val="00ED5860"/>
    <w:rsid w:val="00EE35C9"/>
    <w:rsid w:val="00EE38C4"/>
    <w:rsid w:val="00EF0222"/>
    <w:rsid w:val="00EF0229"/>
    <w:rsid w:val="00F05ECA"/>
    <w:rsid w:val="00F27BA3"/>
    <w:rsid w:val="00F27F45"/>
    <w:rsid w:val="00F3566E"/>
    <w:rsid w:val="00F375FB"/>
    <w:rsid w:val="00F41AC1"/>
    <w:rsid w:val="00F41CBE"/>
    <w:rsid w:val="00F4367A"/>
    <w:rsid w:val="00F445B1"/>
    <w:rsid w:val="00F45CD4"/>
    <w:rsid w:val="00F63CCD"/>
    <w:rsid w:val="00F66DCA"/>
    <w:rsid w:val="00F7090A"/>
    <w:rsid w:val="00F744A2"/>
    <w:rsid w:val="00F74F53"/>
    <w:rsid w:val="00F7606D"/>
    <w:rsid w:val="00F81670"/>
    <w:rsid w:val="00F82024"/>
    <w:rsid w:val="00F94B0C"/>
    <w:rsid w:val="00F95BC9"/>
    <w:rsid w:val="00F97CF3"/>
    <w:rsid w:val="00FA20CC"/>
    <w:rsid w:val="00FA624C"/>
    <w:rsid w:val="00FA6F9E"/>
    <w:rsid w:val="00FC124C"/>
    <w:rsid w:val="00FC3BA4"/>
    <w:rsid w:val="00FD0FAC"/>
    <w:rsid w:val="00FD1DFA"/>
    <w:rsid w:val="00FD4966"/>
    <w:rsid w:val="00FD58C8"/>
    <w:rsid w:val="00FE57DC"/>
    <w:rsid w:val="00FE5AC8"/>
    <w:rsid w:val="00FF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16C2FED"/>
  <w15:docId w15:val="{78D75425-4ABB-4693-8EE1-BDD2650E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F3D9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410077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922083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9790604">
      <w:bodyDiv w:val="1"/>
      <w:marLeft w:val="0"/>
      <w:marRight w:val="0"/>
      <w:marTop w:val="0"/>
      <w:marBottom w:val="0"/>
      <w:divBdr>
        <w:top w:val="none" w:sz="0" w:space="0" w:color="auto"/>
        <w:left w:val="none" w:sz="0" w:space="0" w:color="auto"/>
        <w:bottom w:val="none" w:sz="0" w:space="0" w:color="auto"/>
        <w:right w:val="none" w:sz="0" w:space="0" w:color="auto"/>
      </w:divBdr>
    </w:div>
    <w:div w:id="85966511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67094258">
      <w:bodyDiv w:val="1"/>
      <w:marLeft w:val="0"/>
      <w:marRight w:val="0"/>
      <w:marTop w:val="0"/>
      <w:marBottom w:val="0"/>
      <w:divBdr>
        <w:top w:val="none" w:sz="0" w:space="0" w:color="auto"/>
        <w:left w:val="none" w:sz="0" w:space="0" w:color="auto"/>
        <w:bottom w:val="none" w:sz="0" w:space="0" w:color="auto"/>
        <w:right w:val="none" w:sz="0" w:space="0" w:color="auto"/>
      </w:divBdr>
      <w:divsChild>
        <w:div w:id="1342705533">
          <w:marLeft w:val="0"/>
          <w:marRight w:val="0"/>
          <w:marTop w:val="0"/>
          <w:marBottom w:val="0"/>
          <w:divBdr>
            <w:top w:val="none" w:sz="0" w:space="0" w:color="auto"/>
            <w:left w:val="none" w:sz="0" w:space="0" w:color="auto"/>
            <w:bottom w:val="none" w:sz="0" w:space="0" w:color="auto"/>
            <w:right w:val="none" w:sz="0" w:space="0" w:color="auto"/>
          </w:divBdr>
          <w:divsChild>
            <w:div w:id="1249922702">
              <w:marLeft w:val="0"/>
              <w:marRight w:val="0"/>
              <w:marTop w:val="0"/>
              <w:marBottom w:val="0"/>
              <w:divBdr>
                <w:top w:val="none" w:sz="0" w:space="0" w:color="auto"/>
                <w:left w:val="none" w:sz="0" w:space="0" w:color="auto"/>
                <w:bottom w:val="none" w:sz="0" w:space="0" w:color="auto"/>
                <w:right w:val="none" w:sz="0" w:space="0" w:color="auto"/>
              </w:divBdr>
              <w:divsChild>
                <w:div w:id="951669608">
                  <w:marLeft w:val="0"/>
                  <w:marRight w:val="0"/>
                  <w:marTop w:val="0"/>
                  <w:marBottom w:val="0"/>
                  <w:divBdr>
                    <w:top w:val="none" w:sz="0" w:space="0" w:color="auto"/>
                    <w:left w:val="none" w:sz="0" w:space="0" w:color="auto"/>
                    <w:bottom w:val="none" w:sz="0" w:space="0" w:color="auto"/>
                    <w:right w:val="none" w:sz="0" w:space="0" w:color="auto"/>
                  </w:divBdr>
                  <w:divsChild>
                    <w:div w:id="1256087136">
                      <w:marLeft w:val="0"/>
                      <w:marRight w:val="0"/>
                      <w:marTop w:val="0"/>
                      <w:marBottom w:val="0"/>
                      <w:divBdr>
                        <w:top w:val="none" w:sz="0" w:space="0" w:color="auto"/>
                        <w:left w:val="none" w:sz="0" w:space="0" w:color="auto"/>
                        <w:bottom w:val="none" w:sz="0" w:space="0" w:color="auto"/>
                        <w:right w:val="none" w:sz="0" w:space="0" w:color="auto"/>
                      </w:divBdr>
                      <w:divsChild>
                        <w:div w:id="153568663">
                          <w:marLeft w:val="0"/>
                          <w:marRight w:val="0"/>
                          <w:marTop w:val="0"/>
                          <w:marBottom w:val="0"/>
                          <w:divBdr>
                            <w:top w:val="none" w:sz="0" w:space="0" w:color="auto"/>
                            <w:left w:val="none" w:sz="0" w:space="0" w:color="auto"/>
                            <w:bottom w:val="none" w:sz="0" w:space="0" w:color="auto"/>
                            <w:right w:val="none" w:sz="0" w:space="0" w:color="auto"/>
                          </w:divBdr>
                          <w:divsChild>
                            <w:div w:id="1993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901742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831088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37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hn\Downloads\CEB%20report%20-%20blank%20template%20to%20be%20used%20from%20January%20201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4D4A-3164-4665-8DF3-8B3B42E9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4</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ajbradley</dc:creator>
  <cp:lastModifiedBy>JOHN Martin - Elections</cp:lastModifiedBy>
  <cp:revision>3</cp:revision>
  <cp:lastPrinted>2020-01-31T15:20:00Z</cp:lastPrinted>
  <dcterms:created xsi:type="dcterms:W3CDTF">2020-03-17T17:13:00Z</dcterms:created>
  <dcterms:modified xsi:type="dcterms:W3CDTF">2020-03-19T11:24:00Z</dcterms:modified>
</cp:coreProperties>
</file>